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16" w:rsidRPr="00932984" w:rsidRDefault="00B12A16">
      <w:pPr>
        <w:pStyle w:val="Title"/>
      </w:pPr>
    </w:p>
    <w:p w:rsidR="00B12A16" w:rsidRPr="00932984" w:rsidRDefault="00B12A16">
      <w:pPr>
        <w:pStyle w:val="Title"/>
      </w:pPr>
      <w:smartTag w:uri="urn:schemas-microsoft-com:office:smarttags" w:element="State">
        <w:smartTag w:uri="urn:schemas-microsoft-com:office:smarttags" w:element="place">
          <w:r w:rsidRPr="00932984">
            <w:t>WASHINGTON</w:t>
          </w:r>
        </w:smartTag>
      </w:smartTag>
      <w:r w:rsidRPr="00932984">
        <w:t xml:space="preserve"> QUARTERLY REVIEW</w:t>
      </w:r>
    </w:p>
    <w:p w:rsidR="00B12A16" w:rsidRPr="00932984" w:rsidRDefault="00B12A16">
      <w:pPr>
        <w:rPr>
          <w:sz w:val="44"/>
          <w:szCs w:val="44"/>
        </w:rPr>
      </w:pPr>
    </w:p>
    <w:p w:rsidR="00B12A16" w:rsidRPr="00932984" w:rsidRDefault="00B12A16">
      <w:pPr>
        <w:rPr>
          <w:sz w:val="18"/>
          <w:szCs w:val="18"/>
        </w:rPr>
      </w:pPr>
      <w:r w:rsidRPr="00932984">
        <w:rPr>
          <w:sz w:val="18"/>
          <w:szCs w:val="18"/>
        </w:rPr>
        <w:tab/>
        <w:t>Incentive Federation, Inc.</w:t>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t>George B. Delta, Esq.</w:t>
      </w:r>
    </w:p>
    <w:p w:rsidR="00B12A16" w:rsidRPr="00932984" w:rsidRDefault="00B12A16">
      <w:pPr>
        <w:rPr>
          <w:sz w:val="18"/>
          <w:szCs w:val="18"/>
        </w:rPr>
      </w:pPr>
      <w:r w:rsidRPr="00932984">
        <w:rPr>
          <w:sz w:val="18"/>
          <w:szCs w:val="18"/>
        </w:rPr>
        <w:tab/>
        <w:t>20</w:t>
      </w:r>
      <w:r w:rsidR="004A6A51" w:rsidRPr="00932984">
        <w:rPr>
          <w:sz w:val="18"/>
          <w:szCs w:val="18"/>
        </w:rPr>
        <w:t>1</w:t>
      </w:r>
      <w:r w:rsidR="00925E9C" w:rsidRPr="00932984">
        <w:rPr>
          <w:sz w:val="18"/>
          <w:szCs w:val="18"/>
        </w:rPr>
        <w:t>5</w:t>
      </w:r>
      <w:r w:rsidRPr="00932984">
        <w:rPr>
          <w:sz w:val="18"/>
          <w:szCs w:val="18"/>
        </w:rPr>
        <w:t xml:space="preserve">, Issue </w:t>
      </w:r>
      <w:r w:rsidR="000221A0">
        <w:rPr>
          <w:sz w:val="18"/>
          <w:szCs w:val="18"/>
        </w:rPr>
        <w:t>2</w:t>
      </w:r>
      <w:r w:rsidR="00B31E41" w:rsidRPr="00932984">
        <w:rPr>
          <w:sz w:val="18"/>
          <w:szCs w:val="18"/>
        </w:rPr>
        <w:tab/>
      </w:r>
      <w:r w:rsidR="00B31E41" w:rsidRPr="00932984">
        <w:rPr>
          <w:sz w:val="18"/>
          <w:szCs w:val="18"/>
        </w:rPr>
        <w:tab/>
      </w:r>
      <w:r w:rsidR="00B31E41" w:rsidRPr="00932984">
        <w:rPr>
          <w:sz w:val="18"/>
          <w:szCs w:val="18"/>
        </w:rPr>
        <w:tab/>
      </w:r>
      <w:r w:rsidR="00B31E41" w:rsidRPr="00932984">
        <w:rPr>
          <w:sz w:val="18"/>
          <w:szCs w:val="18"/>
        </w:rPr>
        <w:tab/>
      </w:r>
      <w:r w:rsidRPr="00932984">
        <w:rPr>
          <w:sz w:val="18"/>
          <w:szCs w:val="18"/>
        </w:rPr>
        <w:tab/>
      </w:r>
      <w:r w:rsidRPr="00932984">
        <w:rPr>
          <w:sz w:val="18"/>
          <w:szCs w:val="18"/>
        </w:rPr>
        <w:tab/>
      </w:r>
      <w:r w:rsidRPr="00932984">
        <w:rPr>
          <w:sz w:val="18"/>
          <w:szCs w:val="18"/>
        </w:rPr>
        <w:tab/>
        <w:t xml:space="preserve">(703) </w:t>
      </w:r>
      <w:r w:rsidR="00925E9C" w:rsidRPr="00932984">
        <w:rPr>
          <w:sz w:val="18"/>
          <w:szCs w:val="18"/>
        </w:rPr>
        <w:t>4</w:t>
      </w:r>
      <w:r w:rsidRPr="00932984">
        <w:rPr>
          <w:sz w:val="18"/>
          <w:szCs w:val="18"/>
        </w:rPr>
        <w:t>4</w:t>
      </w:r>
      <w:r w:rsidR="00925E9C" w:rsidRPr="00932984">
        <w:rPr>
          <w:sz w:val="18"/>
          <w:szCs w:val="18"/>
        </w:rPr>
        <w:t>2</w:t>
      </w:r>
      <w:r w:rsidRPr="00932984">
        <w:rPr>
          <w:sz w:val="18"/>
          <w:szCs w:val="18"/>
        </w:rPr>
        <w:t>-</w:t>
      </w:r>
      <w:r w:rsidR="00925E9C" w:rsidRPr="00932984">
        <w:rPr>
          <w:sz w:val="18"/>
          <w:szCs w:val="18"/>
        </w:rPr>
        <w:t>3</w:t>
      </w:r>
      <w:r w:rsidR="0064149C" w:rsidRPr="00932984">
        <w:rPr>
          <w:sz w:val="18"/>
          <w:szCs w:val="18"/>
        </w:rPr>
        <w:t>8</w:t>
      </w:r>
      <w:r w:rsidR="00925E9C" w:rsidRPr="00932984">
        <w:rPr>
          <w:sz w:val="18"/>
          <w:szCs w:val="18"/>
        </w:rPr>
        <w:t>90</w:t>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rPr>
        <w:tab/>
      </w:r>
      <w:r w:rsidRPr="00932984">
        <w:rPr>
          <w:sz w:val="18"/>
          <w:szCs w:val="18"/>
          <w:u w:val="single"/>
        </w:rPr>
        <w:t>gdelta@</w:t>
      </w:r>
      <w:r w:rsidR="004A6A51" w:rsidRPr="00932984">
        <w:rPr>
          <w:sz w:val="18"/>
          <w:szCs w:val="18"/>
          <w:u w:val="single"/>
        </w:rPr>
        <w:t>deltalaw.net</w:t>
      </w:r>
    </w:p>
    <w:p w:rsidR="00B12A16" w:rsidRPr="00093F7A" w:rsidRDefault="00B12A16"/>
    <w:p w:rsidR="00B604E6" w:rsidRPr="003F0E30" w:rsidRDefault="00B604E6" w:rsidP="00B604E6"/>
    <w:p w:rsidR="00B604E6" w:rsidRDefault="00B604E6" w:rsidP="00B604E6">
      <w:pPr>
        <w:jc w:val="center"/>
      </w:pPr>
      <w:r>
        <w:t xml:space="preserve">SUPREME COURT HOLDS THAT </w:t>
      </w:r>
      <w:r w:rsidRPr="003F0E30">
        <w:t>FEDERAL COURT</w:t>
      </w:r>
      <w:r>
        <w:t>S</w:t>
      </w:r>
    </w:p>
    <w:p w:rsidR="00B604E6" w:rsidRDefault="00B604E6" w:rsidP="00B604E6">
      <w:pPr>
        <w:jc w:val="center"/>
      </w:pPr>
      <w:r>
        <w:t>MAY ENJOIN</w:t>
      </w:r>
      <w:r w:rsidRPr="003F0E30">
        <w:t xml:space="preserve"> ENFORCEMENT OF COLORADO</w:t>
      </w:r>
      <w:r>
        <w:t>’S</w:t>
      </w:r>
    </w:p>
    <w:p w:rsidR="00B604E6" w:rsidRDefault="00B604E6" w:rsidP="00B604E6">
      <w:pPr>
        <w:jc w:val="center"/>
      </w:pPr>
      <w:r>
        <w:t xml:space="preserve">2010 </w:t>
      </w:r>
      <w:r w:rsidRPr="003F0E30">
        <w:t xml:space="preserve">SALES </w:t>
      </w:r>
      <w:r>
        <w:t xml:space="preserve">AND USE </w:t>
      </w:r>
      <w:r w:rsidRPr="003F0E30">
        <w:t xml:space="preserve">TAX </w:t>
      </w:r>
      <w:r>
        <w:t>NOTIFICATION LAW</w:t>
      </w:r>
    </w:p>
    <w:p w:rsidR="00B604E6" w:rsidRPr="003F0E30" w:rsidRDefault="00B604E6" w:rsidP="00B604E6">
      <w:pPr>
        <w:jc w:val="center"/>
      </w:pPr>
      <w:r>
        <w:t>(AND JUSTICE KENNEDY STIRS THE POT)</w:t>
      </w:r>
    </w:p>
    <w:p w:rsidR="00B604E6" w:rsidRPr="003F0E30" w:rsidRDefault="00B604E6" w:rsidP="00B604E6">
      <w:pPr>
        <w:jc w:val="both"/>
      </w:pPr>
    </w:p>
    <w:p w:rsidR="00B604E6" w:rsidRPr="003F0E30" w:rsidRDefault="00B604E6" w:rsidP="00B604E6">
      <w:pPr>
        <w:jc w:val="both"/>
        <w:rPr>
          <w:rStyle w:val="normalloose1"/>
          <w:rFonts w:ascii="Times New Roman" w:hAnsi="Times New Roman"/>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Fonts w:ascii="Times New Roman" w:hAnsi="Times New Roman"/>
          <w:sz w:val="24"/>
          <w:szCs w:val="24"/>
        </w:rPr>
        <w:t xml:space="preserve">In our 2011, Issue 1, </w:t>
      </w:r>
      <w:r w:rsidRPr="003F0E30">
        <w:rPr>
          <w:rFonts w:ascii="Times New Roman" w:hAnsi="Times New Roman"/>
          <w:i/>
          <w:sz w:val="24"/>
          <w:szCs w:val="24"/>
        </w:rPr>
        <w:t>Washington Quarterly Review</w:t>
      </w:r>
      <w:r w:rsidRPr="003F0E30">
        <w:rPr>
          <w:rFonts w:ascii="Times New Roman" w:hAnsi="Times New Roman"/>
          <w:sz w:val="24"/>
          <w:szCs w:val="24"/>
        </w:rPr>
        <w:t xml:space="preserve">, we reported that Colorado </w:t>
      </w:r>
      <w:r>
        <w:rPr>
          <w:rFonts w:ascii="Times New Roman" w:hAnsi="Times New Roman"/>
          <w:sz w:val="24"/>
          <w:szCs w:val="24"/>
        </w:rPr>
        <w:t xml:space="preserve">had </w:t>
      </w:r>
      <w:r w:rsidRPr="003F0E30">
        <w:rPr>
          <w:rFonts w:ascii="Times New Roman" w:hAnsi="Times New Roman"/>
          <w:sz w:val="24"/>
          <w:szCs w:val="24"/>
        </w:rPr>
        <w:t>enacted a law that would have required out-of-state retailers who do not collect the state’s sales and use tax to (1) notify each Colorado purchaser on its invoice that sales or use tax is due to the state and that Colorado law requires the customer to file a sale or use tax return, (2) send a notice mailed by first class mail to all Colorado purchasers by January 31 each year stating that Colorado law requires the purchasers to file a sale or use tax return and showing such information as the Colorado Department of Revenue shall require regarding their purchases, including an annual statement of purchases made the previous year for which tax was not collected, and, if available, the dates of purchase, the amounts of each purchase, and the category of the purchase, including whether the purchase is exempt from the sale or use tax, and (3) provide to the Colorado Department of Revenue, the names, addresses, and purchase amounts of all Colorado customers for whom tax was not collected by March 1 of each year.</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Fonts w:ascii="Times New Roman" w:hAnsi="Times New Roman"/>
          <w:sz w:val="24"/>
          <w:szCs w:val="24"/>
        </w:rPr>
        <w:t xml:space="preserve">The Colorado law was codified as codified as </w:t>
      </w:r>
      <w:r w:rsidRPr="003F0E30">
        <w:rPr>
          <w:rFonts w:ascii="Times New Roman" w:hAnsi="Times New Roman"/>
          <w:color w:val="000000"/>
          <w:sz w:val="24"/>
          <w:szCs w:val="24"/>
        </w:rPr>
        <w:t>Colo. Rev. Stat. § 39-21-112(3.5), and it was a clever attempt</w:t>
      </w:r>
      <w:r w:rsidRPr="003F0E30">
        <w:rPr>
          <w:rFonts w:ascii="Times New Roman" w:hAnsi="Times New Roman"/>
          <w:sz w:val="24"/>
          <w:szCs w:val="24"/>
        </w:rPr>
        <w:t xml:space="preserve"> to circumvent the Supreme Court’s decision</w:t>
      </w:r>
      <w:r>
        <w:rPr>
          <w:rFonts w:ascii="Times New Roman" w:hAnsi="Times New Roman"/>
          <w:sz w:val="24"/>
          <w:szCs w:val="24"/>
        </w:rPr>
        <w:t>s</w:t>
      </w:r>
      <w:r w:rsidRPr="003F0E30">
        <w:rPr>
          <w:rFonts w:ascii="Times New Roman" w:hAnsi="Times New Roman"/>
          <w:sz w:val="24"/>
          <w:szCs w:val="24"/>
        </w:rPr>
        <w:t xml:space="preserve"> in </w:t>
      </w:r>
      <w:r w:rsidRPr="003F0E30">
        <w:rPr>
          <w:rFonts w:ascii="Times New Roman" w:hAnsi="Times New Roman"/>
          <w:i/>
          <w:sz w:val="24"/>
          <w:szCs w:val="24"/>
        </w:rPr>
        <w:t>Quill v. North Dakota</w:t>
      </w:r>
      <w:r w:rsidRPr="003F0E30">
        <w:rPr>
          <w:rFonts w:ascii="Times New Roman" w:hAnsi="Times New Roman"/>
          <w:sz w:val="24"/>
          <w:szCs w:val="24"/>
        </w:rPr>
        <w:t xml:space="preserve">, 504 U.S. 298 (1992).  </w:t>
      </w:r>
      <w:r>
        <w:rPr>
          <w:rFonts w:ascii="Times New Roman" w:hAnsi="Times New Roman"/>
          <w:sz w:val="24"/>
          <w:szCs w:val="24"/>
        </w:rPr>
        <w:t xml:space="preserve">Based </w:t>
      </w:r>
      <w:r w:rsidRPr="003F0E30">
        <w:rPr>
          <w:rFonts w:ascii="Times New Roman" w:hAnsi="Times New Roman"/>
          <w:sz w:val="24"/>
          <w:szCs w:val="24"/>
        </w:rPr>
        <w:t xml:space="preserve">on </w:t>
      </w:r>
      <w:r>
        <w:rPr>
          <w:rFonts w:ascii="Times New Roman" w:hAnsi="Times New Roman"/>
          <w:sz w:val="24"/>
          <w:szCs w:val="24"/>
        </w:rPr>
        <w:t xml:space="preserve">prior </w:t>
      </w:r>
      <w:r w:rsidRPr="003F0E30">
        <w:rPr>
          <w:rFonts w:ascii="Times New Roman" w:hAnsi="Times New Roman"/>
          <w:sz w:val="24"/>
          <w:szCs w:val="24"/>
        </w:rPr>
        <w:t xml:space="preserve">precedent, </w:t>
      </w:r>
      <w:r w:rsidRPr="003F0E30">
        <w:rPr>
          <w:rFonts w:ascii="Times New Roman" w:hAnsi="Times New Roman"/>
          <w:i/>
          <w:sz w:val="24"/>
          <w:szCs w:val="24"/>
        </w:rPr>
        <w:t>National Bellas Hess v. Department of Revenue of Illinois</w:t>
      </w:r>
      <w:r w:rsidRPr="003F0E30">
        <w:rPr>
          <w:rFonts w:ascii="Times New Roman" w:hAnsi="Times New Roman"/>
          <w:sz w:val="24"/>
          <w:szCs w:val="24"/>
        </w:rPr>
        <w:t>, 386 U.S. 753 (1967)</w:t>
      </w:r>
      <w:r>
        <w:rPr>
          <w:rFonts w:ascii="Times New Roman" w:hAnsi="Times New Roman"/>
          <w:sz w:val="24"/>
          <w:szCs w:val="24"/>
        </w:rPr>
        <w:t xml:space="preserve">, the Supreme Court held in </w:t>
      </w:r>
      <w:r w:rsidRPr="003F0E30">
        <w:rPr>
          <w:rFonts w:ascii="Times New Roman" w:hAnsi="Times New Roman"/>
          <w:i/>
          <w:sz w:val="24"/>
          <w:szCs w:val="24"/>
        </w:rPr>
        <w:t>Quill</w:t>
      </w:r>
      <w:r w:rsidRPr="003F0E30">
        <w:rPr>
          <w:rFonts w:ascii="Times New Roman" w:hAnsi="Times New Roman"/>
          <w:sz w:val="24"/>
          <w:szCs w:val="24"/>
        </w:rPr>
        <w:t xml:space="preserve"> </w:t>
      </w:r>
      <w:r>
        <w:rPr>
          <w:rFonts w:ascii="Times New Roman" w:hAnsi="Times New Roman"/>
          <w:sz w:val="24"/>
          <w:szCs w:val="24"/>
        </w:rPr>
        <w:t xml:space="preserve">that </w:t>
      </w:r>
      <w:r w:rsidRPr="003F0E30">
        <w:rPr>
          <w:rFonts w:ascii="Times New Roman" w:hAnsi="Times New Roman"/>
          <w:sz w:val="24"/>
          <w:szCs w:val="24"/>
        </w:rPr>
        <w:t xml:space="preserve">an out-of-state seller </w:t>
      </w:r>
      <w:r>
        <w:rPr>
          <w:rFonts w:ascii="Times New Roman" w:hAnsi="Times New Roman"/>
          <w:sz w:val="24"/>
          <w:szCs w:val="24"/>
        </w:rPr>
        <w:t xml:space="preserve">had </w:t>
      </w:r>
      <w:r w:rsidRPr="003F0E30">
        <w:rPr>
          <w:rFonts w:ascii="Times New Roman" w:hAnsi="Times New Roman"/>
          <w:sz w:val="24"/>
          <w:szCs w:val="24"/>
        </w:rPr>
        <w:t>to have substantial physical presence in a state before it could be required to collect and remit that state’s sales and use tax.</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jc w:val="both"/>
        <w:rPr>
          <w:rStyle w:val="Emphasis"/>
          <w:rFonts w:ascii="Times New Roman" w:hAnsi="Times New Roman"/>
          <w:i w:val="0"/>
          <w:sz w:val="24"/>
          <w:szCs w:val="24"/>
        </w:rPr>
      </w:pPr>
      <w:r w:rsidRPr="003F0E30">
        <w:rPr>
          <w:rFonts w:ascii="Times New Roman" w:hAnsi="Times New Roman"/>
          <w:sz w:val="24"/>
          <w:szCs w:val="24"/>
        </w:rPr>
        <w:tab/>
        <w:t xml:space="preserve">On January 26, 2011, a federal district court issued a preliminary injunction prohibiting Colorado from enforcing its new law on the grounds that the law discriminated against out-of-state businesses and imposed an undue burden on interstate commerce.  In reaching its conclusion, the court held that the Direct Marketing Association (DMA) showed a substantial likelihood that it would succeed in proving that the Colorado law and the regulations promulgated pursuant to it were discriminatory because “in practical effect, they impose a burden on interstate commerce that is not imposed on in-state commerce.”  It </w:t>
      </w:r>
      <w:r w:rsidRPr="003F0E30">
        <w:rPr>
          <w:rFonts w:ascii="Times New Roman" w:hAnsi="Times New Roman"/>
          <w:sz w:val="24"/>
          <w:szCs w:val="24"/>
          <w:lang/>
        </w:rPr>
        <w:t xml:space="preserve">agreed that the DMA had demonstrated a substantial likelihood of success on the merits of its discrimination claim, because the state had nondiscriminatory alternatives at its disposal, such as collecting its use tax directly from </w:t>
      </w:r>
      <w:r w:rsidRPr="003F0E30">
        <w:rPr>
          <w:rFonts w:ascii="Times New Roman" w:hAnsi="Times New Roman"/>
          <w:sz w:val="24"/>
          <w:szCs w:val="24"/>
          <w:lang/>
        </w:rPr>
        <w:lastRenderedPageBreak/>
        <w:t xml:space="preserve">Colorado taxpayers.  </w:t>
      </w:r>
      <w:r w:rsidRPr="003F0E30">
        <w:rPr>
          <w:rFonts w:ascii="Times New Roman" w:hAnsi="Times New Roman"/>
          <w:sz w:val="24"/>
          <w:szCs w:val="24"/>
        </w:rPr>
        <w:t xml:space="preserve">In addition, the court ruled that the burdens the Colorado statute and regulations imposed were inextricably related in kind and purpose to the burdens condemned in </w:t>
      </w:r>
      <w:r w:rsidRPr="003F0E30">
        <w:rPr>
          <w:rStyle w:val="Emphasis"/>
          <w:rFonts w:ascii="Times New Roman" w:hAnsi="Times New Roman"/>
          <w:sz w:val="24"/>
          <w:szCs w:val="24"/>
        </w:rPr>
        <w:t>Quill</w:t>
      </w:r>
      <w:r w:rsidRPr="003F0E30">
        <w:rPr>
          <w:rStyle w:val="Emphasis"/>
          <w:rFonts w:ascii="Times New Roman" w:hAnsi="Times New Roman"/>
          <w:i w:val="0"/>
          <w:sz w:val="24"/>
          <w:szCs w:val="24"/>
        </w:rPr>
        <w:t xml:space="preserve"> and that </w:t>
      </w:r>
      <w:r w:rsidRPr="003F0E30">
        <w:rPr>
          <w:rFonts w:ascii="Times New Roman" w:hAnsi="Times New Roman"/>
          <w:sz w:val="24"/>
          <w:szCs w:val="24"/>
        </w:rPr>
        <w:t xml:space="preserve">“The Act and the Regulations impose these burdens on out-of-state retailers who have no connection with Colorado customers other than by common carrier or the United States mail.  Those retailers likely are protected from such burdens on interstate commerce by the safe-harbor established in </w:t>
      </w:r>
      <w:r w:rsidRPr="003F0E30">
        <w:rPr>
          <w:rStyle w:val="Emphasis"/>
          <w:rFonts w:ascii="Times New Roman" w:hAnsi="Times New Roman"/>
          <w:sz w:val="24"/>
          <w:szCs w:val="24"/>
        </w:rPr>
        <w:t>Quill.”</w:t>
      </w:r>
      <w:r w:rsidRPr="003F0E30">
        <w:rPr>
          <w:rStyle w:val="Emphasis"/>
          <w:rFonts w:ascii="Times New Roman" w:hAnsi="Times New Roman"/>
          <w:i w:val="0"/>
          <w:sz w:val="24"/>
          <w:szCs w:val="24"/>
        </w:rPr>
        <w:t xml:space="preserve">  The Colorado law and r</w:t>
      </w:r>
      <w:r w:rsidRPr="003F0E30">
        <w:rPr>
          <w:rFonts w:ascii="Times New Roman" w:hAnsi="Times New Roman"/>
          <w:sz w:val="24"/>
          <w:szCs w:val="24"/>
          <w:lang/>
        </w:rPr>
        <w:t>egulations impose burdens on out-of-state retailers that have no connection with Colorado customers other than by common carrier, and, as such, the restrictions would likely be held to be an undue burden under the commerce clause.</w:t>
      </w:r>
    </w:p>
    <w:p w:rsidR="00B604E6" w:rsidRPr="003F0E30" w:rsidRDefault="00B604E6" w:rsidP="00B604E6">
      <w:pPr>
        <w:pStyle w:val="msolistparagraph0"/>
        <w:ind w:left="0"/>
        <w:jc w:val="both"/>
        <w:rPr>
          <w:rStyle w:val="Emphasis"/>
          <w:rFonts w:ascii="Times New Roman" w:hAnsi="Times New Roman"/>
          <w:i w:val="0"/>
          <w:sz w:val="24"/>
          <w:szCs w:val="24"/>
        </w:rPr>
      </w:pPr>
    </w:p>
    <w:p w:rsidR="00B604E6" w:rsidRPr="003F0E30" w:rsidRDefault="00B604E6" w:rsidP="00B604E6">
      <w:pPr>
        <w:pStyle w:val="msolistparagraph0"/>
        <w:ind w:left="0"/>
        <w:jc w:val="both"/>
        <w:rPr>
          <w:rStyle w:val="Emphasis"/>
          <w:rFonts w:ascii="Times New Roman" w:hAnsi="Times New Roman"/>
          <w:i w:val="0"/>
          <w:sz w:val="24"/>
          <w:szCs w:val="24"/>
        </w:rPr>
      </w:pPr>
      <w:r w:rsidRPr="003F0E30">
        <w:rPr>
          <w:rStyle w:val="Emphasis"/>
          <w:rFonts w:ascii="Times New Roman" w:hAnsi="Times New Roman"/>
          <w:i w:val="0"/>
          <w:sz w:val="24"/>
          <w:szCs w:val="24"/>
        </w:rPr>
        <w:tab/>
      </w:r>
      <w:r w:rsidRPr="003F0E30">
        <w:rPr>
          <w:rFonts w:ascii="Times New Roman" w:hAnsi="Times New Roman"/>
          <w:sz w:val="24"/>
          <w:szCs w:val="24"/>
        </w:rPr>
        <w:t xml:space="preserve">On March 30, 2012, the district court struck down the Colorado statute under the commerce clause, in </w:t>
      </w:r>
      <w:r w:rsidRPr="003F0E30">
        <w:rPr>
          <w:rFonts w:ascii="Times New Roman" w:hAnsi="Times New Roman"/>
          <w:i/>
          <w:sz w:val="24"/>
          <w:szCs w:val="24"/>
        </w:rPr>
        <w:t>Direct Marketing Association v. Huber</w:t>
      </w:r>
      <w:r w:rsidRPr="003F0E30">
        <w:rPr>
          <w:rFonts w:ascii="Times New Roman" w:hAnsi="Times New Roman"/>
          <w:sz w:val="24"/>
          <w:szCs w:val="24"/>
        </w:rPr>
        <w:t xml:space="preserve">, No. 10-cv-01546-REB-CBS (D. Colo. Mar. 30, 2012).  It held that the act and regulations were discriminatory because “in practical effect, they impose a burden on interstate commerce that is not imposed on in-state commerce.”  In addition, the court concluded that burdens imposed by the Colorado statute and regulations were inextricably related in kind and purpose to the burdens condemned in </w:t>
      </w:r>
      <w:r w:rsidRPr="003F0E30">
        <w:rPr>
          <w:rFonts w:ascii="Times New Roman" w:hAnsi="Times New Roman"/>
          <w:i/>
          <w:sz w:val="24"/>
          <w:szCs w:val="24"/>
        </w:rPr>
        <w:t>Quill</w:t>
      </w:r>
      <w:r w:rsidRPr="003F0E30">
        <w:rPr>
          <w:rFonts w:ascii="Times New Roman" w:hAnsi="Times New Roman"/>
          <w:sz w:val="24"/>
          <w:szCs w:val="24"/>
        </w:rPr>
        <w:t xml:space="preserve"> and that “The Act and the Regulations impose these burdens on out-of-state retailers who have no connection with Colorado customers other than by common carrier or the United States mail.  Those retailers likely are protected from such burdens on interstate commerce by the safe-harbor established in </w:t>
      </w:r>
      <w:r w:rsidRPr="003F0E30">
        <w:rPr>
          <w:rFonts w:ascii="Times New Roman" w:hAnsi="Times New Roman"/>
          <w:i/>
          <w:sz w:val="24"/>
          <w:szCs w:val="24"/>
        </w:rPr>
        <w:t>Quill</w:t>
      </w:r>
      <w:r w:rsidRPr="003F0E30">
        <w:rPr>
          <w:rFonts w:ascii="Times New Roman" w:hAnsi="Times New Roman"/>
          <w:sz w:val="24"/>
          <w:szCs w:val="24"/>
        </w:rPr>
        <w:t>.”  (</w:t>
      </w:r>
      <w:hyperlink r:id="rId7" w:history="1">
        <w:r w:rsidRPr="003F0E30">
          <w:rPr>
            <w:rStyle w:val="Hyperlink"/>
            <w:rFonts w:ascii="Times New Roman" w:hAnsi="Times New Roman"/>
            <w:sz w:val="24"/>
            <w:szCs w:val="24"/>
          </w:rPr>
          <w:t>http://www.journalofaccountancy.com/content/dam/jofa/archive/issues/2012/04/directmktgvcolo.pdf</w:t>
        </w:r>
      </w:hyperlink>
      <w:r w:rsidRPr="003F0E30">
        <w:rPr>
          <w:rStyle w:val="xref"/>
          <w:rFonts w:ascii="Times New Roman" w:hAnsi="Times New Roman"/>
          <w:sz w:val="24"/>
          <w:szCs w:val="24"/>
        </w:rPr>
        <w:t xml:space="preserve"> </w:t>
      </w:r>
      <w:r w:rsidRPr="003F0E30">
        <w:rPr>
          <w:rFonts w:ascii="Times New Roman" w:hAnsi="Times New Roman"/>
          <w:sz w:val="24"/>
          <w:szCs w:val="24"/>
        </w:rPr>
        <w:t xml:space="preserve"> (visited Mar. 2, 2015)).</w:t>
      </w:r>
      <w:r>
        <w:rPr>
          <w:rFonts w:ascii="Times New Roman" w:hAnsi="Times New Roman"/>
          <w:sz w:val="24"/>
          <w:szCs w:val="24"/>
        </w:rPr>
        <w:t xml:space="preserve">  The made its preliminary injunction permanent.</w:t>
      </w:r>
    </w:p>
    <w:p w:rsidR="00B604E6" w:rsidRPr="003F0E30" w:rsidRDefault="00B604E6" w:rsidP="00B604E6">
      <w:pPr>
        <w:pStyle w:val="msolistparagraph0"/>
        <w:ind w:left="0"/>
        <w:jc w:val="both"/>
        <w:rPr>
          <w:rStyle w:val="Emphasis"/>
          <w:rFonts w:ascii="Times New Roman" w:hAnsi="Times New Roman"/>
          <w:i w:val="0"/>
          <w:sz w:val="24"/>
          <w:szCs w:val="24"/>
        </w:rPr>
      </w:pPr>
    </w:p>
    <w:p w:rsidR="00B604E6" w:rsidRPr="003F0E30" w:rsidRDefault="00B604E6" w:rsidP="00B604E6">
      <w:pPr>
        <w:pStyle w:val="msolistparagraph0"/>
        <w:ind w:left="0" w:firstLine="720"/>
        <w:jc w:val="both"/>
        <w:rPr>
          <w:rStyle w:val="Emphasis"/>
          <w:rFonts w:ascii="Times New Roman" w:hAnsi="Times New Roman"/>
          <w:i w:val="0"/>
          <w:sz w:val="24"/>
          <w:szCs w:val="24"/>
        </w:rPr>
      </w:pPr>
      <w:r w:rsidRPr="003F0E30">
        <w:rPr>
          <w:rStyle w:val="Emphasis"/>
          <w:rFonts w:ascii="Times New Roman" w:hAnsi="Times New Roman"/>
          <w:i w:val="0"/>
          <w:sz w:val="24"/>
          <w:szCs w:val="24"/>
        </w:rPr>
        <w:t>As a result of the holding that the law was unconstitutional</w:t>
      </w:r>
      <w:r>
        <w:rPr>
          <w:rStyle w:val="Emphasis"/>
          <w:rFonts w:ascii="Times New Roman" w:hAnsi="Times New Roman"/>
          <w:i w:val="0"/>
          <w:sz w:val="24"/>
          <w:szCs w:val="24"/>
        </w:rPr>
        <w:t xml:space="preserve"> and the permanent injunction that prohibited its enforcement</w:t>
      </w:r>
      <w:r w:rsidRPr="003F0E30">
        <w:rPr>
          <w:rStyle w:val="Emphasis"/>
          <w:rFonts w:ascii="Times New Roman" w:hAnsi="Times New Roman"/>
          <w:i w:val="0"/>
          <w:sz w:val="24"/>
          <w:szCs w:val="24"/>
        </w:rPr>
        <w:t xml:space="preserve">, Colorado </w:t>
      </w:r>
      <w:r>
        <w:rPr>
          <w:rStyle w:val="Emphasis"/>
          <w:rFonts w:ascii="Times New Roman" w:hAnsi="Times New Roman"/>
          <w:i w:val="0"/>
          <w:sz w:val="24"/>
          <w:szCs w:val="24"/>
        </w:rPr>
        <w:t xml:space="preserve">has been </w:t>
      </w:r>
      <w:r w:rsidRPr="003F0E30">
        <w:rPr>
          <w:rStyle w:val="Emphasis"/>
          <w:rFonts w:ascii="Times New Roman" w:hAnsi="Times New Roman"/>
          <w:i w:val="0"/>
          <w:sz w:val="24"/>
          <w:szCs w:val="24"/>
        </w:rPr>
        <w:t>unable to force out-of-state retailers to provide the notices and gather the information its statute would have required, or collect and remit the use tax to the state.  The court’s ruling that the Colorado law and regulations discriminate against interstate commerce and impose an undue burden on out-of-state retailers with no connection to Colorado other than by common carrier or U.S. mail seemed to be on solid footing.</w:t>
      </w:r>
    </w:p>
    <w:p w:rsidR="00B604E6" w:rsidRPr="003F0E30" w:rsidRDefault="00B604E6" w:rsidP="00B604E6">
      <w:pPr>
        <w:pStyle w:val="msolistparagraph0"/>
        <w:ind w:left="0"/>
        <w:jc w:val="both"/>
        <w:rPr>
          <w:rStyle w:val="Emphasis"/>
          <w:rFonts w:ascii="Times New Roman" w:hAnsi="Times New Roman"/>
          <w:i w:val="0"/>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Style w:val="Emphasis"/>
          <w:rFonts w:ascii="Times New Roman" w:hAnsi="Times New Roman"/>
          <w:i w:val="0"/>
          <w:sz w:val="24"/>
          <w:szCs w:val="24"/>
        </w:rPr>
        <w:t xml:space="preserve">Then, rather unexpectedly, the U.S. Court of Appeals for the Tenth Circuit reversed the holding of the lower court in </w:t>
      </w:r>
      <w:r w:rsidRPr="003F0E30">
        <w:rPr>
          <w:rFonts w:ascii="Times New Roman" w:hAnsi="Times New Roman"/>
          <w:i/>
          <w:sz w:val="24"/>
          <w:szCs w:val="24"/>
        </w:rPr>
        <w:t>Direct Marketing Association v. Brohl</w:t>
      </w:r>
      <w:r w:rsidRPr="003F0E30">
        <w:rPr>
          <w:rFonts w:ascii="Times New Roman" w:hAnsi="Times New Roman"/>
          <w:sz w:val="24"/>
          <w:szCs w:val="24"/>
        </w:rPr>
        <w:t xml:space="preserve">, 735 F.3d 904 (10th Cir. 2013), </w:t>
      </w:r>
      <w:r w:rsidRPr="003F0E30">
        <w:rPr>
          <w:rStyle w:val="Emphasis"/>
          <w:rFonts w:ascii="Times New Roman" w:hAnsi="Times New Roman"/>
          <w:i w:val="0"/>
          <w:sz w:val="24"/>
          <w:szCs w:val="24"/>
        </w:rPr>
        <w:t xml:space="preserve">on the grounds that the </w:t>
      </w:r>
      <w:r w:rsidRPr="003F0E30">
        <w:rPr>
          <w:rFonts w:ascii="Times New Roman" w:hAnsi="Times New Roman"/>
          <w:sz w:val="24"/>
          <w:szCs w:val="24"/>
        </w:rPr>
        <w:t>federal Tax Injunction Act (TIA), 28 U.S.C. § 1341, precluded federal jurisdiction over the DMA’s claims.  The TIA states that “district courts shall not enjoin, suspend or restrain the assessment, levy or collection of any tax under State law where a plain, speedy and efficient remedy may be had in the courts of such State.”  The Tenth Circuit reviewed its precedent and concluded that the DMA was indeed asking federal courts to enjoin the assessment or collection of a tax, and that the DMA had ample remedies available to it in Colorado’s state courts.  Accordingly, the appeals court remanded the case to the lower court with instructions to dissolve the injunction.</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Fonts w:ascii="Times New Roman" w:hAnsi="Times New Roman"/>
          <w:sz w:val="24"/>
          <w:szCs w:val="24"/>
        </w:rPr>
        <w:t xml:space="preserve">Although the Tenth Circuit reversed the district court on the grounds that it lacked jurisdiction to hear the case, its ruling was not the end of the battle over the Colorado law.  The DMA took the advice of the federal appeals court and immediately filed suit in </w:t>
      </w:r>
      <w:r w:rsidRPr="003F0E30">
        <w:rPr>
          <w:rFonts w:ascii="Times New Roman" w:hAnsi="Times New Roman"/>
          <w:sz w:val="24"/>
          <w:szCs w:val="24"/>
        </w:rPr>
        <w:lastRenderedPageBreak/>
        <w:t xml:space="preserve">state court asking that the Colorado law be struck down.  On February 18, 2014, a Colorado state court issued a preliminary injunction once again prohibiting the imposition of the state’s reporting requirements.  In so doing, the court made an initial determination that Colorado’s notification requirements discriminated against out-of-state businesses.  </w:t>
      </w:r>
      <w:r w:rsidRPr="003F0E30">
        <w:rPr>
          <w:rFonts w:ascii="Times New Roman" w:hAnsi="Times New Roman"/>
          <w:i/>
          <w:sz w:val="24"/>
          <w:szCs w:val="24"/>
        </w:rPr>
        <w:t>Direct Marketing Association v. Department of Revenue</w:t>
      </w:r>
      <w:r w:rsidRPr="003F0E30">
        <w:rPr>
          <w:rFonts w:ascii="Times New Roman" w:hAnsi="Times New Roman"/>
          <w:sz w:val="24"/>
          <w:szCs w:val="24"/>
        </w:rPr>
        <w:t>, No. 13CV34855 (Colo. Dist. Ct. Feb. 18, 2014).  The state court litigation is proceeding without regard to the federal litigation.</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Fonts w:ascii="Times New Roman" w:hAnsi="Times New Roman"/>
          <w:sz w:val="24"/>
          <w:szCs w:val="24"/>
        </w:rPr>
        <w:t xml:space="preserve">While the parties were litigating the validity of the law in Colorado state court, the U.S. Supreme Court reversed the Tenth Circuit’s decision regarding the scope and applicability of the TIA in </w:t>
      </w:r>
      <w:r w:rsidRPr="003F0E30">
        <w:rPr>
          <w:rFonts w:ascii="Times New Roman" w:hAnsi="Times New Roman"/>
          <w:i/>
          <w:sz w:val="24"/>
          <w:szCs w:val="24"/>
        </w:rPr>
        <w:t>Direct Marketing Association v. Brohl</w:t>
      </w:r>
      <w:r w:rsidRPr="003F0E30">
        <w:rPr>
          <w:rFonts w:ascii="Times New Roman" w:hAnsi="Times New Roman"/>
          <w:sz w:val="24"/>
          <w:szCs w:val="24"/>
        </w:rPr>
        <w:t xml:space="preserve">.  The court held that the plain language of the TIA prohibits </w:t>
      </w:r>
      <w:r>
        <w:rPr>
          <w:rFonts w:ascii="Times New Roman" w:hAnsi="Times New Roman"/>
          <w:sz w:val="24"/>
          <w:szCs w:val="24"/>
        </w:rPr>
        <w:t xml:space="preserve">only </w:t>
      </w:r>
      <w:r w:rsidRPr="003F0E30">
        <w:rPr>
          <w:rFonts w:ascii="Times New Roman" w:hAnsi="Times New Roman"/>
          <w:sz w:val="24"/>
          <w:szCs w:val="24"/>
        </w:rPr>
        <w:t>injunctions that involve “the assessment, levy or collection of any tax under State law where a plain, speedy and efficient remedy may be had in the courts of such State.”  The Colorado statute imposes notice and reporting requirements; it does not involve the assessment, levy, or collection of a state tax.  Therefore, the TI</w:t>
      </w:r>
      <w:r>
        <w:rPr>
          <w:rFonts w:ascii="Times New Roman" w:hAnsi="Times New Roman"/>
          <w:sz w:val="24"/>
          <w:szCs w:val="24"/>
        </w:rPr>
        <w:t>A can</w:t>
      </w:r>
      <w:r w:rsidRPr="003F0E30">
        <w:rPr>
          <w:rFonts w:ascii="Times New Roman" w:hAnsi="Times New Roman"/>
          <w:sz w:val="24"/>
          <w:szCs w:val="24"/>
        </w:rPr>
        <w:t>not apply.</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firstLine="720"/>
        <w:jc w:val="both"/>
        <w:rPr>
          <w:rFonts w:ascii="Times New Roman" w:hAnsi="Times New Roman"/>
          <w:sz w:val="24"/>
          <w:szCs w:val="24"/>
        </w:rPr>
      </w:pPr>
      <w:r w:rsidRPr="003F0E30">
        <w:rPr>
          <w:rFonts w:ascii="Times New Roman" w:hAnsi="Times New Roman"/>
          <w:sz w:val="24"/>
          <w:szCs w:val="24"/>
        </w:rPr>
        <w:t xml:space="preserve">The holding of the Supreme Court in </w:t>
      </w:r>
      <w:r w:rsidRPr="003F0E30">
        <w:rPr>
          <w:rFonts w:ascii="Times New Roman" w:hAnsi="Times New Roman"/>
          <w:i/>
          <w:sz w:val="24"/>
          <w:szCs w:val="24"/>
        </w:rPr>
        <w:t>Brohl</w:t>
      </w:r>
      <w:r w:rsidRPr="003F0E30">
        <w:rPr>
          <w:rFonts w:ascii="Times New Roman" w:hAnsi="Times New Roman"/>
          <w:sz w:val="24"/>
          <w:szCs w:val="24"/>
        </w:rPr>
        <w:t xml:space="preserve"> was very narrow in that it only addressed the breadth of the TIA.  The court did not reach the merits of the Colorado statute, because it was not required to do so.  As a result, it sent the case back to the appeals court so that it could consider the merits of the district court’s decision.  </w:t>
      </w:r>
      <w:r w:rsidRPr="003F0E30">
        <w:rPr>
          <w:rFonts w:ascii="Times New Roman" w:hAnsi="Times New Roman"/>
          <w:i/>
          <w:sz w:val="24"/>
          <w:szCs w:val="24"/>
        </w:rPr>
        <w:t>Direct Marketing Association v. Brohl</w:t>
      </w:r>
      <w:r w:rsidRPr="003F0E30">
        <w:rPr>
          <w:rFonts w:ascii="Times New Roman" w:hAnsi="Times New Roman"/>
          <w:sz w:val="24"/>
          <w:szCs w:val="24"/>
        </w:rPr>
        <w:t xml:space="preserve">, No. 13-1032 (U.S. Sup. Ct. Mar. 3, 2015) is available at </w:t>
      </w:r>
      <w:hyperlink r:id="rId8" w:history="1">
        <w:r w:rsidRPr="003F0E30">
          <w:rPr>
            <w:rStyle w:val="Hyperlink"/>
            <w:rFonts w:ascii="Times New Roman" w:hAnsi="Times New Roman"/>
            <w:sz w:val="24"/>
            <w:szCs w:val="24"/>
          </w:rPr>
          <w:t>http://www.supremecourt.gov/opinions/14pdf/13-1032_8759.pdf</w:t>
        </w:r>
      </w:hyperlink>
      <w:r w:rsidRPr="003F0E30">
        <w:rPr>
          <w:rFonts w:ascii="Times New Roman" w:hAnsi="Times New Roman"/>
          <w:sz w:val="24"/>
          <w:szCs w:val="24"/>
        </w:rPr>
        <w:t xml:space="preserve"> (visited Mar. 12, 2015).  </w:t>
      </w:r>
    </w:p>
    <w:p w:rsidR="00B604E6" w:rsidRPr="003F0E30" w:rsidRDefault="00B604E6" w:rsidP="00B604E6">
      <w:pPr>
        <w:pStyle w:val="msolistparagraph0"/>
        <w:ind w:left="0"/>
        <w:jc w:val="both"/>
        <w:rPr>
          <w:rFonts w:ascii="Times New Roman" w:hAnsi="Times New Roman"/>
          <w:sz w:val="24"/>
          <w:szCs w:val="24"/>
        </w:rPr>
      </w:pPr>
    </w:p>
    <w:p w:rsidR="00B604E6" w:rsidRPr="003F0E30" w:rsidRDefault="00B604E6" w:rsidP="00B604E6">
      <w:pPr>
        <w:pStyle w:val="msolistparagraph0"/>
        <w:ind w:left="0"/>
        <w:jc w:val="both"/>
        <w:rPr>
          <w:rFonts w:ascii="Times New Roman" w:hAnsi="Times New Roman"/>
          <w:sz w:val="24"/>
          <w:szCs w:val="24"/>
        </w:rPr>
      </w:pPr>
      <w:r w:rsidRPr="003F0E30">
        <w:rPr>
          <w:rFonts w:ascii="Times New Roman" w:hAnsi="Times New Roman"/>
          <w:sz w:val="24"/>
          <w:szCs w:val="24"/>
        </w:rPr>
        <w:tab/>
        <w:t xml:space="preserve">The Supreme Court’s decision in </w:t>
      </w:r>
      <w:r w:rsidRPr="003F0E30">
        <w:rPr>
          <w:rFonts w:ascii="Times New Roman" w:hAnsi="Times New Roman"/>
          <w:i/>
          <w:sz w:val="24"/>
          <w:szCs w:val="24"/>
        </w:rPr>
        <w:t>Brohl</w:t>
      </w:r>
      <w:r w:rsidRPr="003F0E30">
        <w:rPr>
          <w:rFonts w:ascii="Times New Roman" w:hAnsi="Times New Roman"/>
          <w:sz w:val="24"/>
          <w:szCs w:val="24"/>
        </w:rPr>
        <w:t xml:space="preserve"> would have been a straightforward and unremarkable interpretation of a federal statute if it had not been for the concurring opinion of Justice Kennedy.  He starts by writing that the opinion of the court has his “unqualified join and assent, for in my view it is complete and correct,” and then goes on to add that it is time for the court to reconsider and overturn its decisions in </w:t>
      </w:r>
      <w:r w:rsidRPr="003F0E30">
        <w:rPr>
          <w:rFonts w:ascii="Times New Roman" w:hAnsi="Times New Roman"/>
          <w:i/>
          <w:sz w:val="24"/>
          <w:szCs w:val="24"/>
        </w:rPr>
        <w:t>Quill</w:t>
      </w:r>
      <w:r w:rsidRPr="003F0E30">
        <w:rPr>
          <w:rFonts w:ascii="Times New Roman" w:hAnsi="Times New Roman"/>
          <w:sz w:val="24"/>
          <w:szCs w:val="24"/>
        </w:rPr>
        <w:t xml:space="preserve"> and </w:t>
      </w:r>
      <w:r w:rsidRPr="003F0E30">
        <w:rPr>
          <w:rFonts w:ascii="Times New Roman" w:hAnsi="Times New Roman"/>
          <w:i/>
          <w:sz w:val="24"/>
          <w:szCs w:val="24"/>
        </w:rPr>
        <w:t>National Bellas Hess</w:t>
      </w:r>
      <w:r>
        <w:rPr>
          <w:rFonts w:ascii="Times New Roman" w:hAnsi="Times New Roman"/>
          <w:sz w:val="24"/>
          <w:szCs w:val="24"/>
        </w:rPr>
        <w:t>.</w:t>
      </w:r>
      <w:r w:rsidRPr="003F0E30">
        <w:rPr>
          <w:rFonts w:ascii="Times New Roman" w:hAnsi="Times New Roman"/>
          <w:sz w:val="24"/>
          <w:szCs w:val="24"/>
        </w:rPr>
        <w:t xml:space="preserve">  While </w:t>
      </w:r>
      <w:r w:rsidRPr="003F0E30">
        <w:rPr>
          <w:rFonts w:ascii="Times New Roman" w:hAnsi="Times New Roman"/>
          <w:i/>
          <w:sz w:val="24"/>
          <w:szCs w:val="24"/>
        </w:rPr>
        <w:t>National Bellas Hess</w:t>
      </w:r>
      <w:r w:rsidRPr="003F0E30">
        <w:rPr>
          <w:rFonts w:ascii="Times New Roman" w:hAnsi="Times New Roman"/>
          <w:sz w:val="24"/>
          <w:szCs w:val="24"/>
        </w:rPr>
        <w:t xml:space="preserve"> may not necessarily have been wrongly decided in 1967, the Supreme Court was analyzing commerce clause cases differently </w:t>
      </w:r>
      <w:r>
        <w:rPr>
          <w:rFonts w:ascii="Times New Roman" w:hAnsi="Times New Roman"/>
          <w:sz w:val="24"/>
          <w:szCs w:val="24"/>
        </w:rPr>
        <w:t xml:space="preserve">in </w:t>
      </w:r>
      <w:r w:rsidRPr="003F0E30">
        <w:rPr>
          <w:rFonts w:ascii="Times New Roman" w:hAnsi="Times New Roman"/>
          <w:sz w:val="24"/>
          <w:szCs w:val="24"/>
        </w:rPr>
        <w:t xml:space="preserve">1992 when it decided </w:t>
      </w:r>
      <w:r w:rsidRPr="003F0E30">
        <w:rPr>
          <w:rFonts w:ascii="Times New Roman" w:hAnsi="Times New Roman"/>
          <w:i/>
          <w:sz w:val="24"/>
          <w:szCs w:val="24"/>
        </w:rPr>
        <w:t>Quill</w:t>
      </w:r>
      <w:r w:rsidRPr="003F0E30">
        <w:rPr>
          <w:rFonts w:ascii="Times New Roman" w:hAnsi="Times New Roman"/>
          <w:sz w:val="24"/>
          <w:szCs w:val="24"/>
        </w:rPr>
        <w:t xml:space="preserve">.  The court nonetheless reaffirmed </w:t>
      </w:r>
      <w:r w:rsidRPr="003F0E30">
        <w:rPr>
          <w:rFonts w:ascii="Times New Roman" w:hAnsi="Times New Roman"/>
          <w:i/>
          <w:sz w:val="24"/>
          <w:szCs w:val="24"/>
        </w:rPr>
        <w:t>National Bellas Hess</w:t>
      </w:r>
      <w:r w:rsidRPr="003F0E30">
        <w:rPr>
          <w:rFonts w:ascii="Times New Roman" w:hAnsi="Times New Roman"/>
          <w:sz w:val="24"/>
          <w:szCs w:val="24"/>
        </w:rPr>
        <w:t xml:space="preserve"> in 1992 solely because it was existing precedent.</w:t>
      </w:r>
    </w:p>
    <w:p w:rsidR="00B604E6" w:rsidRPr="003F0E30" w:rsidRDefault="00B604E6" w:rsidP="00B604E6">
      <w:pPr>
        <w:pStyle w:val="msolistparagraph0"/>
        <w:ind w:left="0"/>
        <w:jc w:val="both"/>
        <w:rPr>
          <w:rFonts w:ascii="Times New Roman" w:hAnsi="Times New Roman"/>
          <w:sz w:val="24"/>
          <w:szCs w:val="24"/>
        </w:rPr>
      </w:pPr>
    </w:p>
    <w:p w:rsidR="00B604E6" w:rsidRDefault="00B604E6" w:rsidP="00B604E6">
      <w:pPr>
        <w:pStyle w:val="msolistparagraph0"/>
        <w:ind w:left="0" w:firstLine="720"/>
        <w:jc w:val="both"/>
        <w:rPr>
          <w:rFonts w:ascii="Times New Roman" w:hAnsi="Times New Roman"/>
          <w:color w:val="000000"/>
          <w:sz w:val="24"/>
          <w:szCs w:val="24"/>
        </w:rPr>
      </w:pPr>
      <w:r w:rsidRPr="003F0E30">
        <w:rPr>
          <w:rFonts w:ascii="Times New Roman" w:hAnsi="Times New Roman"/>
          <w:sz w:val="24"/>
          <w:szCs w:val="24"/>
        </w:rPr>
        <w:t xml:space="preserve">On a more practical level, Justice Kennedy notes that the national marketplace had changed considerably since the court decided </w:t>
      </w:r>
      <w:r w:rsidRPr="003F0E30">
        <w:rPr>
          <w:rFonts w:ascii="Times New Roman" w:hAnsi="Times New Roman"/>
          <w:i/>
          <w:sz w:val="24"/>
          <w:szCs w:val="24"/>
        </w:rPr>
        <w:t>Quill</w:t>
      </w:r>
      <w:r w:rsidRPr="003F0E30">
        <w:rPr>
          <w:rFonts w:ascii="Times New Roman" w:hAnsi="Times New Roman"/>
          <w:sz w:val="24"/>
          <w:szCs w:val="24"/>
        </w:rPr>
        <w:t xml:space="preserve"> in 1992, with the Internet and electronic commerce as the main drivers of this change.  For example, mail order sales were estimated to be $180 million in 1992, but they had reached about $3.16 trillion in 2008.  He </w:t>
      </w:r>
      <w:r>
        <w:rPr>
          <w:rFonts w:ascii="Times New Roman" w:hAnsi="Times New Roman"/>
          <w:sz w:val="24"/>
          <w:szCs w:val="24"/>
        </w:rPr>
        <w:t xml:space="preserve">states </w:t>
      </w:r>
      <w:r w:rsidRPr="003F0E30">
        <w:rPr>
          <w:rFonts w:ascii="Times New Roman" w:hAnsi="Times New Roman"/>
          <w:sz w:val="24"/>
          <w:szCs w:val="24"/>
        </w:rPr>
        <w:t>that “</w:t>
      </w:r>
      <w:r w:rsidRPr="003F0E30">
        <w:rPr>
          <w:rFonts w:ascii="Times New Roman" w:hAnsi="Times New Roman"/>
          <w:color w:val="000000"/>
          <w:sz w:val="24"/>
          <w:szCs w:val="24"/>
        </w:rPr>
        <w:t>Given these changes in technology and consumer so</w:t>
      </w:r>
      <w:r w:rsidRPr="003F0E30">
        <w:rPr>
          <w:rFonts w:ascii="Times New Roman" w:hAnsi="Times New Roman"/>
          <w:color w:val="000000"/>
          <w:sz w:val="24"/>
          <w:szCs w:val="24"/>
        </w:rPr>
        <w:softHyphen/>
        <w:t>phistication, it is unwise to delay any longer a reconsider</w:t>
      </w:r>
      <w:r w:rsidRPr="003F0E30">
        <w:rPr>
          <w:rFonts w:ascii="Times New Roman" w:hAnsi="Times New Roman"/>
          <w:color w:val="000000"/>
          <w:sz w:val="24"/>
          <w:szCs w:val="24"/>
        </w:rPr>
        <w:softHyphen/>
        <w:t xml:space="preserve">ation of the Court’s holding in </w:t>
      </w:r>
      <w:r w:rsidRPr="003F0E30">
        <w:rPr>
          <w:rFonts w:ascii="Times New Roman" w:hAnsi="Times New Roman"/>
          <w:i/>
          <w:iCs/>
          <w:color w:val="000000"/>
          <w:sz w:val="24"/>
          <w:szCs w:val="24"/>
        </w:rPr>
        <w:t>Quill</w:t>
      </w:r>
      <w:r w:rsidRPr="003F0E30">
        <w:rPr>
          <w:rFonts w:ascii="Times New Roman" w:hAnsi="Times New Roman"/>
          <w:color w:val="000000"/>
          <w:sz w:val="24"/>
          <w:szCs w:val="24"/>
        </w:rPr>
        <w:t xml:space="preserve">. A case questionable even when decided, </w:t>
      </w:r>
      <w:r w:rsidRPr="003F0E30">
        <w:rPr>
          <w:rFonts w:ascii="Times New Roman" w:hAnsi="Times New Roman"/>
          <w:i/>
          <w:iCs/>
          <w:color w:val="000000"/>
          <w:sz w:val="24"/>
          <w:szCs w:val="24"/>
        </w:rPr>
        <w:t xml:space="preserve">Quill </w:t>
      </w:r>
      <w:r w:rsidRPr="003F0E30">
        <w:rPr>
          <w:rFonts w:ascii="Times New Roman" w:hAnsi="Times New Roman"/>
          <w:color w:val="000000"/>
          <w:sz w:val="24"/>
          <w:szCs w:val="24"/>
        </w:rPr>
        <w:t xml:space="preserve">now harms States to a degree far greater than could have been anticipated earlier.”  </w:t>
      </w:r>
    </w:p>
    <w:p w:rsidR="00B604E6" w:rsidRDefault="00B604E6" w:rsidP="00B604E6">
      <w:pPr>
        <w:pStyle w:val="msolistparagraph0"/>
        <w:ind w:left="0"/>
        <w:jc w:val="both"/>
        <w:rPr>
          <w:rFonts w:ascii="Times New Roman" w:hAnsi="Times New Roman"/>
          <w:color w:val="000000"/>
          <w:sz w:val="24"/>
          <w:szCs w:val="24"/>
        </w:rPr>
      </w:pPr>
      <w:r>
        <w:rPr>
          <w:rFonts w:ascii="Times New Roman" w:hAnsi="Times New Roman"/>
          <w:color w:val="000000"/>
          <w:sz w:val="24"/>
          <w:szCs w:val="24"/>
        </w:rPr>
        <w:br w:type="page"/>
      </w:r>
    </w:p>
    <w:p w:rsidR="00432EAA" w:rsidRPr="00093F7A" w:rsidRDefault="00B604E6" w:rsidP="00B604E6">
      <w:pPr>
        <w:pStyle w:val="msolistparagraph0"/>
        <w:ind w:left="0" w:firstLine="720"/>
        <w:jc w:val="both"/>
        <w:rPr>
          <w:rFonts w:ascii="Times New Roman" w:hAnsi="Times New Roman"/>
          <w:sz w:val="24"/>
          <w:szCs w:val="24"/>
        </w:rPr>
      </w:pPr>
      <w:r>
        <w:rPr>
          <w:rFonts w:ascii="Times New Roman" w:hAnsi="Times New Roman"/>
          <w:color w:val="000000"/>
          <w:sz w:val="24"/>
          <w:szCs w:val="24"/>
        </w:rPr>
        <w:t>Due to the increasing importance of electronic commerce, there is a strong argument that a retailer conducting extensive business in a state has sufficient nexus with that state to be required to collect and remit that state’s sales and use tax, even if the retailer conducts that business remotely only (</w:t>
      </w:r>
      <w:r w:rsidRPr="00716606">
        <w:rPr>
          <w:rFonts w:ascii="Times New Roman" w:hAnsi="Times New Roman"/>
          <w:i/>
          <w:color w:val="000000"/>
          <w:sz w:val="24"/>
          <w:szCs w:val="24"/>
        </w:rPr>
        <w:t>i.e.</w:t>
      </w:r>
      <w:r>
        <w:rPr>
          <w:rFonts w:ascii="Times New Roman" w:hAnsi="Times New Roman"/>
          <w:color w:val="000000"/>
          <w:sz w:val="24"/>
          <w:szCs w:val="24"/>
        </w:rPr>
        <w:t xml:space="preserve">, without physical presence).  Therefore, Justice Kennedy concludes that the holding in </w:t>
      </w:r>
      <w:r w:rsidRPr="003F0E30">
        <w:rPr>
          <w:rFonts w:ascii="Times New Roman" w:hAnsi="Times New Roman"/>
          <w:i/>
          <w:sz w:val="24"/>
          <w:szCs w:val="24"/>
        </w:rPr>
        <w:t>Quill</w:t>
      </w:r>
      <w:r>
        <w:rPr>
          <w:rFonts w:ascii="Times New Roman" w:hAnsi="Times New Roman"/>
          <w:sz w:val="24"/>
          <w:szCs w:val="24"/>
        </w:rPr>
        <w:t xml:space="preserve"> should be left in place only if there is a compelling showing that its rationale is still correct.  </w:t>
      </w:r>
      <w:r w:rsidRPr="003F0E30">
        <w:rPr>
          <w:rFonts w:ascii="Times New Roman" w:hAnsi="Times New Roman"/>
          <w:sz w:val="24"/>
          <w:szCs w:val="24"/>
        </w:rPr>
        <w:t xml:space="preserve">After reading Justice Kennedy’s concurrence, </w:t>
      </w:r>
      <w:r>
        <w:rPr>
          <w:rFonts w:ascii="Times New Roman" w:hAnsi="Times New Roman"/>
          <w:sz w:val="24"/>
          <w:szCs w:val="24"/>
        </w:rPr>
        <w:t xml:space="preserve">it seems likely that </w:t>
      </w:r>
      <w:r w:rsidRPr="003F0E30">
        <w:rPr>
          <w:rFonts w:ascii="Times New Roman" w:hAnsi="Times New Roman"/>
          <w:sz w:val="24"/>
          <w:szCs w:val="24"/>
        </w:rPr>
        <w:t>in the fairly near future</w:t>
      </w:r>
      <w:r>
        <w:rPr>
          <w:rFonts w:ascii="Times New Roman" w:hAnsi="Times New Roman"/>
          <w:sz w:val="24"/>
          <w:szCs w:val="24"/>
        </w:rPr>
        <w:t xml:space="preserve"> </w:t>
      </w:r>
      <w:r w:rsidRPr="003F0E30">
        <w:rPr>
          <w:rFonts w:ascii="Times New Roman" w:hAnsi="Times New Roman"/>
          <w:sz w:val="24"/>
          <w:szCs w:val="24"/>
        </w:rPr>
        <w:t xml:space="preserve">out-of-state sellers will be required to </w:t>
      </w:r>
      <w:r>
        <w:rPr>
          <w:rFonts w:ascii="Times New Roman" w:hAnsi="Times New Roman"/>
          <w:sz w:val="24"/>
          <w:szCs w:val="24"/>
        </w:rPr>
        <w:t xml:space="preserve">collect and </w:t>
      </w:r>
      <w:r w:rsidRPr="003F0E30">
        <w:rPr>
          <w:rFonts w:ascii="Times New Roman" w:hAnsi="Times New Roman"/>
          <w:sz w:val="24"/>
          <w:szCs w:val="24"/>
        </w:rPr>
        <w:t>remit state</w:t>
      </w:r>
      <w:r>
        <w:rPr>
          <w:rFonts w:ascii="Times New Roman" w:hAnsi="Times New Roman"/>
          <w:sz w:val="24"/>
          <w:szCs w:val="24"/>
        </w:rPr>
        <w:t xml:space="preserve"> </w:t>
      </w:r>
      <w:r w:rsidRPr="003F0E30">
        <w:rPr>
          <w:rFonts w:ascii="Times New Roman" w:hAnsi="Times New Roman"/>
          <w:sz w:val="24"/>
          <w:szCs w:val="24"/>
        </w:rPr>
        <w:t xml:space="preserve">sales and use tax </w:t>
      </w:r>
      <w:r>
        <w:rPr>
          <w:rFonts w:ascii="Times New Roman" w:hAnsi="Times New Roman"/>
          <w:sz w:val="24"/>
          <w:szCs w:val="24"/>
        </w:rPr>
        <w:t xml:space="preserve">everywhere they do business regardless whether they have any </w:t>
      </w:r>
      <w:r w:rsidRPr="003F0E30">
        <w:rPr>
          <w:rFonts w:ascii="Times New Roman" w:hAnsi="Times New Roman"/>
          <w:sz w:val="24"/>
          <w:szCs w:val="24"/>
        </w:rPr>
        <w:t>physical presence</w:t>
      </w:r>
      <w:r>
        <w:rPr>
          <w:rFonts w:ascii="Times New Roman" w:hAnsi="Times New Roman"/>
          <w:sz w:val="24"/>
          <w:szCs w:val="24"/>
        </w:rPr>
        <w:t>.  If Congress does not require all retailers to collect and remit sales and use taxes by enacting the Marketplace Fairness Act or other similar legislation this year, then the Supreme Court may undertake to impose that requirement as soon as the opportunity presents itself.</w:t>
      </w:r>
    </w:p>
    <w:sectPr w:rsidR="00432EAA" w:rsidRPr="00093F7A" w:rsidSect="00DE2AF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F3" w:rsidRDefault="000879F3">
      <w:r>
        <w:separator/>
      </w:r>
    </w:p>
  </w:endnote>
  <w:endnote w:type="continuationSeparator" w:id="0">
    <w:p w:rsidR="000879F3" w:rsidRDefault="00087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0C" w:rsidRDefault="0011060C"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60C" w:rsidRDefault="0011060C" w:rsidP="00DE2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0C" w:rsidRDefault="0011060C"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4C9">
      <w:rPr>
        <w:rStyle w:val="PageNumber"/>
        <w:noProof/>
      </w:rPr>
      <w:t>4</w:t>
    </w:r>
    <w:r>
      <w:rPr>
        <w:rStyle w:val="PageNumber"/>
      </w:rPr>
      <w:fldChar w:fldCharType="end"/>
    </w:r>
  </w:p>
  <w:p w:rsidR="0011060C" w:rsidRDefault="0011060C" w:rsidP="00DE2A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F3" w:rsidRDefault="000879F3">
      <w:r>
        <w:separator/>
      </w:r>
    </w:p>
  </w:footnote>
  <w:footnote w:type="continuationSeparator" w:id="0">
    <w:p w:rsidR="000879F3" w:rsidRDefault="00087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F71"/>
    <w:multiLevelType w:val="hybridMultilevel"/>
    <w:tmpl w:val="D9A655D6"/>
    <w:lvl w:ilvl="0" w:tplc="774407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5E26E4"/>
    <w:multiLevelType w:val="multilevel"/>
    <w:tmpl w:val="E434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B6A20"/>
    <w:multiLevelType w:val="hybridMultilevel"/>
    <w:tmpl w:val="22B8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9"/>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09183E"/>
    <w:rsid w:val="00011D6C"/>
    <w:rsid w:val="000221A0"/>
    <w:rsid w:val="00032A04"/>
    <w:rsid w:val="00035DB2"/>
    <w:rsid w:val="00083C8D"/>
    <w:rsid w:val="000879F3"/>
    <w:rsid w:val="0009183E"/>
    <w:rsid w:val="00092649"/>
    <w:rsid w:val="00093F7A"/>
    <w:rsid w:val="000965CE"/>
    <w:rsid w:val="000C70BD"/>
    <w:rsid w:val="000D5DF0"/>
    <w:rsid w:val="000E7897"/>
    <w:rsid w:val="0011060C"/>
    <w:rsid w:val="00177973"/>
    <w:rsid w:val="00185AA9"/>
    <w:rsid w:val="001E1D46"/>
    <w:rsid w:val="001E3F94"/>
    <w:rsid w:val="00205C66"/>
    <w:rsid w:val="00253815"/>
    <w:rsid w:val="00273D18"/>
    <w:rsid w:val="00286162"/>
    <w:rsid w:val="00290733"/>
    <w:rsid w:val="002921A5"/>
    <w:rsid w:val="002B2858"/>
    <w:rsid w:val="00316AA1"/>
    <w:rsid w:val="00325E5C"/>
    <w:rsid w:val="00325E6F"/>
    <w:rsid w:val="00331061"/>
    <w:rsid w:val="00366F1A"/>
    <w:rsid w:val="0038523C"/>
    <w:rsid w:val="003B2297"/>
    <w:rsid w:val="003E445F"/>
    <w:rsid w:val="003F0E30"/>
    <w:rsid w:val="00432EAA"/>
    <w:rsid w:val="00451932"/>
    <w:rsid w:val="00464A28"/>
    <w:rsid w:val="004753CF"/>
    <w:rsid w:val="00493AB8"/>
    <w:rsid w:val="00495B57"/>
    <w:rsid w:val="004A6A51"/>
    <w:rsid w:val="004B5CCB"/>
    <w:rsid w:val="004C6A2B"/>
    <w:rsid w:val="004D5C8E"/>
    <w:rsid w:val="004E07B1"/>
    <w:rsid w:val="004F2BF4"/>
    <w:rsid w:val="00514B0B"/>
    <w:rsid w:val="00572105"/>
    <w:rsid w:val="00581004"/>
    <w:rsid w:val="005B78F4"/>
    <w:rsid w:val="005C72B5"/>
    <w:rsid w:val="005D4394"/>
    <w:rsid w:val="00620043"/>
    <w:rsid w:val="00622F49"/>
    <w:rsid w:val="00634646"/>
    <w:rsid w:val="0064149C"/>
    <w:rsid w:val="006436A3"/>
    <w:rsid w:val="006A05F7"/>
    <w:rsid w:val="006C2C4C"/>
    <w:rsid w:val="006C3FBC"/>
    <w:rsid w:val="006E2054"/>
    <w:rsid w:val="00716606"/>
    <w:rsid w:val="00791DDD"/>
    <w:rsid w:val="00794E27"/>
    <w:rsid w:val="007B5BEB"/>
    <w:rsid w:val="007D7094"/>
    <w:rsid w:val="007F11B2"/>
    <w:rsid w:val="00816B96"/>
    <w:rsid w:val="00821436"/>
    <w:rsid w:val="00870BC2"/>
    <w:rsid w:val="008B4D21"/>
    <w:rsid w:val="008C6C99"/>
    <w:rsid w:val="008D1572"/>
    <w:rsid w:val="008E5C2D"/>
    <w:rsid w:val="008F04A1"/>
    <w:rsid w:val="009079F0"/>
    <w:rsid w:val="00911619"/>
    <w:rsid w:val="00925E8E"/>
    <w:rsid w:val="00925E9C"/>
    <w:rsid w:val="00932984"/>
    <w:rsid w:val="00942223"/>
    <w:rsid w:val="009A54FE"/>
    <w:rsid w:val="009D5ED2"/>
    <w:rsid w:val="009F15E5"/>
    <w:rsid w:val="009F2DBD"/>
    <w:rsid w:val="00A114FE"/>
    <w:rsid w:val="00A317D0"/>
    <w:rsid w:val="00A55AE1"/>
    <w:rsid w:val="00A81454"/>
    <w:rsid w:val="00AA6E45"/>
    <w:rsid w:val="00AD21BF"/>
    <w:rsid w:val="00B00F7E"/>
    <w:rsid w:val="00B017F2"/>
    <w:rsid w:val="00B12A16"/>
    <w:rsid w:val="00B21B8F"/>
    <w:rsid w:val="00B269B8"/>
    <w:rsid w:val="00B31E41"/>
    <w:rsid w:val="00B52F47"/>
    <w:rsid w:val="00B604E6"/>
    <w:rsid w:val="00B6409C"/>
    <w:rsid w:val="00B7074C"/>
    <w:rsid w:val="00B71623"/>
    <w:rsid w:val="00B7368E"/>
    <w:rsid w:val="00BE2995"/>
    <w:rsid w:val="00C04EA5"/>
    <w:rsid w:val="00C20067"/>
    <w:rsid w:val="00C4501B"/>
    <w:rsid w:val="00C866CB"/>
    <w:rsid w:val="00C950D5"/>
    <w:rsid w:val="00CA596E"/>
    <w:rsid w:val="00CB29A6"/>
    <w:rsid w:val="00CB61D4"/>
    <w:rsid w:val="00CD24C9"/>
    <w:rsid w:val="00CF0D17"/>
    <w:rsid w:val="00CF7337"/>
    <w:rsid w:val="00D41596"/>
    <w:rsid w:val="00D625D9"/>
    <w:rsid w:val="00D92BF7"/>
    <w:rsid w:val="00DB1A63"/>
    <w:rsid w:val="00DE2AF0"/>
    <w:rsid w:val="00DF35A6"/>
    <w:rsid w:val="00E57F14"/>
    <w:rsid w:val="00E91986"/>
    <w:rsid w:val="00F00038"/>
    <w:rsid w:val="00F41A9E"/>
    <w:rsid w:val="00F578D6"/>
    <w:rsid w:val="00F632BC"/>
    <w:rsid w:val="00F6506E"/>
    <w:rsid w:val="00FC2F88"/>
    <w:rsid w:val="00FC64D1"/>
    <w:rsid w:val="00FD0647"/>
    <w:rsid w:val="00F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99"/>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sz w:val="44"/>
      <w:szCs w:val="44"/>
    </w:rPr>
  </w:style>
  <w:style w:type="character" w:styleId="FollowedHyperlink">
    <w:name w:val="FollowedHyperlink"/>
    <w:basedOn w:val="DefaultParagraphFont"/>
    <w:rPr>
      <w:color w:val="800080"/>
      <w:u w:val="single"/>
    </w:rPr>
  </w:style>
  <w:style w:type="character" w:customStyle="1" w:styleId="content1">
    <w:name w:val="content1"/>
    <w:basedOn w:val="DefaultParagraphFont"/>
    <w:rPr>
      <w:rFonts w:ascii="Arial" w:hAnsi="Arial" w:cs="Arial" w:hint="default"/>
      <w:color w:val="000000"/>
      <w:sz w:val="17"/>
      <w:szCs w:val="17"/>
    </w:rPr>
  </w:style>
  <w:style w:type="paragraph" w:styleId="BodyTextIndent3">
    <w:name w:val="Body Text Indent 3"/>
    <w:basedOn w:val="Normal"/>
    <w:pPr>
      <w:autoSpaceDE w:val="0"/>
      <w:autoSpaceDN w:val="0"/>
      <w:adjustRightInd w:val="0"/>
      <w:spacing w:before="100" w:beforeAutospacing="1" w:after="100" w:afterAutospacing="1"/>
      <w:ind w:left="360"/>
      <w:jc w:val="both"/>
    </w:pPr>
    <w:rPr>
      <w:color w:val="000000"/>
      <w:szCs w:val="18"/>
    </w:rPr>
  </w:style>
  <w:style w:type="paragraph" w:customStyle="1" w:styleId="bodytext">
    <w:name w:val="bodytext"/>
    <w:basedOn w:val="Normal"/>
    <w:pPr>
      <w:spacing w:before="100" w:beforeAutospacing="1" w:after="100" w:afterAutospacing="1"/>
    </w:pPr>
    <w:rPr>
      <w:rFonts w:ascii="Arial" w:hAnsi="Arial" w:cs="Arial"/>
      <w:color w:val="000000"/>
      <w:sz w:val="18"/>
      <w:szCs w:val="18"/>
    </w:rPr>
  </w:style>
  <w:style w:type="paragraph" w:customStyle="1" w:styleId="BHeading4">
    <w:name w:val="BHeading4"/>
    <w:basedOn w:val="Normal"/>
    <w:pPr>
      <w:spacing w:line="240" w:lineRule="exact"/>
    </w:pPr>
    <w:rPr>
      <w:rFonts w:ascii="CG Times (WN)" w:hAnsi="CG Times (WN)"/>
      <w:sz w:val="22"/>
      <w:szCs w:val="20"/>
    </w:rPr>
  </w:style>
  <w:style w:type="character" w:customStyle="1" w:styleId="normalloose1">
    <w:name w:val="normalloose1"/>
    <w:basedOn w:val="DefaultParagraphFont"/>
    <w:rPr>
      <w:rFonts w:ascii="Verdana" w:hAnsi="Verdana" w:hint="default"/>
      <w:spacing w:val="65956"/>
      <w:sz w:val="18"/>
      <w:szCs w:val="18"/>
    </w:rPr>
  </w:style>
  <w:style w:type="paragraph" w:styleId="BodyTextIndent">
    <w:name w:val="Body Text Indent"/>
    <w:basedOn w:val="Normal"/>
    <w:pPr>
      <w:ind w:firstLine="720"/>
      <w:jc w:val="both"/>
    </w:pPr>
  </w:style>
  <w:style w:type="paragraph" w:styleId="BodyText0">
    <w:name w:val="Body Text"/>
    <w:basedOn w:val="Normal"/>
    <w:pPr>
      <w:jc w:val="both"/>
    </w:pPr>
  </w:style>
  <w:style w:type="character" w:styleId="FootnoteReference">
    <w:name w:val="footnote reference"/>
    <w:semiHidden/>
  </w:style>
  <w:style w:type="character" w:customStyle="1" w:styleId="Hypertext">
    <w:name w:val="Hypertext"/>
    <w:rPr>
      <w:color w:val="0000FF"/>
      <w:u w:val="single"/>
    </w:rPr>
  </w:style>
  <w:style w:type="character" w:styleId="Emphasis">
    <w:name w:val="Emphasis"/>
    <w:basedOn w:val="DefaultParagraphFont"/>
    <w:uiPriority w:val="20"/>
    <w:qFormat/>
    <w:rsid w:val="00B7074C"/>
    <w:rPr>
      <w:i/>
      <w:iCs/>
    </w:rPr>
  </w:style>
  <w:style w:type="paragraph" w:customStyle="1" w:styleId="msolistparagraph0">
    <w:name w:val="msolistparagraph"/>
    <w:basedOn w:val="Normal"/>
    <w:rsid w:val="009D5ED2"/>
    <w:pPr>
      <w:ind w:left="720"/>
    </w:pPr>
    <w:rPr>
      <w:rFonts w:ascii="Calibri" w:hAnsi="Calibri"/>
      <w:sz w:val="22"/>
      <w:szCs w:val="22"/>
    </w:rPr>
  </w:style>
  <w:style w:type="paragraph" w:styleId="Footer">
    <w:name w:val="footer"/>
    <w:basedOn w:val="Normal"/>
    <w:rsid w:val="00DE2AF0"/>
    <w:pPr>
      <w:tabs>
        <w:tab w:val="center" w:pos="4320"/>
        <w:tab w:val="right" w:pos="8640"/>
      </w:tabs>
    </w:pPr>
  </w:style>
  <w:style w:type="character" w:styleId="PageNumber">
    <w:name w:val="page number"/>
    <w:basedOn w:val="DefaultParagraphFont"/>
    <w:rsid w:val="00DE2AF0"/>
  </w:style>
  <w:style w:type="paragraph" w:styleId="Header">
    <w:name w:val="header"/>
    <w:basedOn w:val="Normal"/>
    <w:rsid w:val="00DE2AF0"/>
    <w:pPr>
      <w:tabs>
        <w:tab w:val="center" w:pos="4320"/>
        <w:tab w:val="right" w:pos="8640"/>
      </w:tabs>
    </w:pPr>
  </w:style>
  <w:style w:type="character" w:customStyle="1" w:styleId="xref">
    <w:name w:val="xref"/>
    <w:basedOn w:val="DefaultParagraphFont"/>
    <w:rsid w:val="00514B0B"/>
    <w:rPr>
      <w:color w:val="auto"/>
    </w:rPr>
  </w:style>
  <w:style w:type="paragraph" w:styleId="FootnoteText">
    <w:name w:val="footnote text"/>
    <w:basedOn w:val="Normal"/>
    <w:link w:val="FootnoteTextChar"/>
    <w:rsid w:val="00514B0B"/>
    <w:pPr>
      <w:ind w:firstLine="360"/>
    </w:pPr>
    <w:rPr>
      <w:sz w:val="22"/>
      <w:szCs w:val="22"/>
    </w:rPr>
  </w:style>
  <w:style w:type="character" w:customStyle="1" w:styleId="FootnoteTextChar">
    <w:name w:val="Footnote Text Char"/>
    <w:basedOn w:val="DefaultParagraphFont"/>
    <w:link w:val="FootnoteText"/>
    <w:rsid w:val="00932984"/>
    <w:rPr>
      <w:sz w:val="22"/>
      <w:szCs w:val="22"/>
    </w:rPr>
  </w:style>
</w:styles>
</file>

<file path=word/webSettings.xml><?xml version="1.0" encoding="utf-8"?>
<w:webSettings xmlns:r="http://schemas.openxmlformats.org/officeDocument/2006/relationships" xmlns:w="http://schemas.openxmlformats.org/wordprocessingml/2006/main">
  <w:divs>
    <w:div w:id="85464786">
      <w:bodyDiv w:val="1"/>
      <w:marLeft w:val="0"/>
      <w:marRight w:val="0"/>
      <w:marTop w:val="0"/>
      <w:marBottom w:val="0"/>
      <w:divBdr>
        <w:top w:val="none" w:sz="0" w:space="0" w:color="auto"/>
        <w:left w:val="none" w:sz="0" w:space="0" w:color="auto"/>
        <w:bottom w:val="none" w:sz="0" w:space="0" w:color="auto"/>
        <w:right w:val="none" w:sz="0" w:space="0" w:color="auto"/>
      </w:divBdr>
    </w:div>
    <w:div w:id="186716869">
      <w:bodyDiv w:val="1"/>
      <w:marLeft w:val="0"/>
      <w:marRight w:val="0"/>
      <w:marTop w:val="0"/>
      <w:marBottom w:val="0"/>
      <w:divBdr>
        <w:top w:val="none" w:sz="0" w:space="0" w:color="auto"/>
        <w:left w:val="none" w:sz="0" w:space="0" w:color="auto"/>
        <w:bottom w:val="none" w:sz="0" w:space="0" w:color="auto"/>
        <w:right w:val="none" w:sz="0" w:space="0" w:color="auto"/>
      </w:divBdr>
      <w:divsChild>
        <w:div w:id="309748973">
          <w:marLeft w:val="0"/>
          <w:marRight w:val="0"/>
          <w:marTop w:val="0"/>
          <w:marBottom w:val="0"/>
          <w:divBdr>
            <w:top w:val="none" w:sz="0" w:space="0" w:color="auto"/>
            <w:left w:val="none" w:sz="0" w:space="0" w:color="auto"/>
            <w:bottom w:val="none" w:sz="0" w:space="0" w:color="auto"/>
            <w:right w:val="none" w:sz="0" w:space="0" w:color="auto"/>
          </w:divBdr>
          <w:divsChild>
            <w:div w:id="463355809">
              <w:marLeft w:val="0"/>
              <w:marRight w:val="0"/>
              <w:marTop w:val="0"/>
              <w:marBottom w:val="0"/>
              <w:divBdr>
                <w:top w:val="none" w:sz="0" w:space="0" w:color="auto"/>
                <w:left w:val="none" w:sz="0" w:space="0" w:color="auto"/>
                <w:bottom w:val="none" w:sz="0" w:space="0" w:color="auto"/>
                <w:right w:val="none" w:sz="0" w:space="0" w:color="auto"/>
              </w:divBdr>
              <w:divsChild>
                <w:div w:id="1224290034">
                  <w:marLeft w:val="0"/>
                  <w:marRight w:val="0"/>
                  <w:marTop w:val="0"/>
                  <w:marBottom w:val="0"/>
                  <w:divBdr>
                    <w:top w:val="none" w:sz="0" w:space="0" w:color="auto"/>
                    <w:left w:val="none" w:sz="0" w:space="0" w:color="auto"/>
                    <w:bottom w:val="none" w:sz="0" w:space="0" w:color="auto"/>
                    <w:right w:val="none" w:sz="0" w:space="0" w:color="auto"/>
                  </w:divBdr>
                  <w:divsChild>
                    <w:div w:id="1835216674">
                      <w:marLeft w:val="0"/>
                      <w:marRight w:val="0"/>
                      <w:marTop w:val="0"/>
                      <w:marBottom w:val="0"/>
                      <w:divBdr>
                        <w:top w:val="none" w:sz="0" w:space="0" w:color="auto"/>
                        <w:left w:val="none" w:sz="0" w:space="0" w:color="auto"/>
                        <w:bottom w:val="none" w:sz="0" w:space="0" w:color="auto"/>
                        <w:right w:val="none" w:sz="0" w:space="0" w:color="auto"/>
                      </w:divBdr>
                      <w:divsChild>
                        <w:div w:id="1107894480">
                          <w:marLeft w:val="0"/>
                          <w:marRight w:val="0"/>
                          <w:marTop w:val="0"/>
                          <w:marBottom w:val="0"/>
                          <w:divBdr>
                            <w:top w:val="none" w:sz="0" w:space="0" w:color="auto"/>
                            <w:left w:val="none" w:sz="0" w:space="0" w:color="auto"/>
                            <w:bottom w:val="none" w:sz="0" w:space="0" w:color="auto"/>
                            <w:right w:val="none" w:sz="0" w:space="0" w:color="auto"/>
                          </w:divBdr>
                          <w:divsChild>
                            <w:div w:id="931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535823">
      <w:bodyDiv w:val="1"/>
      <w:marLeft w:val="0"/>
      <w:marRight w:val="0"/>
      <w:marTop w:val="0"/>
      <w:marBottom w:val="0"/>
      <w:divBdr>
        <w:top w:val="none" w:sz="0" w:space="0" w:color="auto"/>
        <w:left w:val="none" w:sz="0" w:space="0" w:color="auto"/>
        <w:bottom w:val="none" w:sz="0" w:space="0" w:color="auto"/>
        <w:right w:val="none" w:sz="0" w:space="0" w:color="auto"/>
      </w:divBdr>
    </w:div>
    <w:div w:id="14874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14pdf/13-1032_8759.pdf" TargetMode="External"/><Relationship Id="rId3" Type="http://schemas.openxmlformats.org/officeDocument/2006/relationships/settings" Target="settings.xml"/><Relationship Id="rId7" Type="http://schemas.openxmlformats.org/officeDocument/2006/relationships/hyperlink" Target="http://www.journalofaccountancy.com/content/dam/jofa/archive/issues/2012/04/directmktgvcol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California enacted S</vt:lpstr>
    </vt:vector>
  </TitlesOfParts>
  <Company>Prentiss Properties</Company>
  <LinksUpToDate>false</LinksUpToDate>
  <CharactersWithSpaces>10552</CharactersWithSpaces>
  <SharedDoc>false</SharedDoc>
  <HLinks>
    <vt:vector size="12" baseType="variant">
      <vt:variant>
        <vt:i4>2555912</vt:i4>
      </vt:variant>
      <vt:variant>
        <vt:i4>3</vt:i4>
      </vt:variant>
      <vt:variant>
        <vt:i4>0</vt:i4>
      </vt:variant>
      <vt:variant>
        <vt:i4>5</vt:i4>
      </vt:variant>
      <vt:variant>
        <vt:lpwstr>http://www.supremecourt.gov/opinions/14pdf/13-1032_8759.pdf</vt:lpwstr>
      </vt:variant>
      <vt:variant>
        <vt:lpwstr/>
      </vt:variant>
      <vt:variant>
        <vt:i4>3538987</vt:i4>
      </vt:variant>
      <vt:variant>
        <vt:i4>0</vt:i4>
      </vt:variant>
      <vt:variant>
        <vt:i4>0</vt:i4>
      </vt:variant>
      <vt:variant>
        <vt:i4>5</vt:i4>
      </vt:variant>
      <vt:variant>
        <vt:lpwstr>http://www.journalofaccountancy.com/content/dam/jofa/archive/issues/2012/04/directmktgvcolo.pdf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enacted S</dc:title>
  <dc:creator>George Delta</dc:creator>
  <cp:lastModifiedBy>Jtadlock</cp:lastModifiedBy>
  <cp:revision>2</cp:revision>
  <cp:lastPrinted>2015-08-25T14:29:00Z</cp:lastPrinted>
  <dcterms:created xsi:type="dcterms:W3CDTF">2015-08-25T14:30:00Z</dcterms:created>
  <dcterms:modified xsi:type="dcterms:W3CDTF">2015-08-25T14:30:00Z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-812351401</vt:i4>
  </property>
  <property fmtid="{D5CDD505-2E9C-101B-9397-08002B2CF9AE}" pid="3" name="_EmailSubject">
    <vt:lpwstr>Federal Gift Card Legislation</vt:lpwstr>
  </property>
  <property fmtid="{D5CDD505-2E9C-101B-9397-08002B2CF9AE}" pid="4" name="_AuthorEmail">
    <vt:lpwstr>gdelta@cox.net</vt:lpwstr>
  </property>
  <property fmtid="{D5CDD505-2E9C-101B-9397-08002B2CF9AE}" pid="5" name="_AuthorEmailDisplayName">
    <vt:lpwstr>GeorgeDelta</vt:lpwstr>
  </property>
  <property fmtid="{D5CDD505-2E9C-101B-9397-08002B2CF9AE}" pid="6" name="_ReviewingToolsShownOnce">
    <vt:lpwstr/>
  </property>
</Properties>
</file>