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319" w:rsidRDefault="005127F9">
      <w:pPr>
        <w:pStyle w:val="Title"/>
      </w:pPr>
      <w:r>
        <w:rPr>
          <w:noProof/>
          <w:lang w:eastAsia="en-US"/>
        </w:rPr>
        <w:drawing>
          <wp:inline distT="0" distB="0" distL="0" distR="0" wp14:anchorId="077618D5" wp14:editId="58A3519C">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7">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rsidR="007462B7" w:rsidRDefault="007462B7" w:rsidP="00D605DC">
      <w:pPr>
        <w:pStyle w:val="Title"/>
        <w:rPr>
          <w:color w:val="95441D" w:themeColor="text2" w:themeTint="BF"/>
          <w:sz w:val="48"/>
          <w:szCs w:val="48"/>
        </w:rPr>
      </w:pPr>
    </w:p>
    <w:p w:rsidR="00D605DC" w:rsidRPr="00D605DC" w:rsidRDefault="00C50E0D" w:rsidP="00D605DC">
      <w:pPr>
        <w:pStyle w:val="Title"/>
        <w:rPr>
          <w:rFonts w:cstheme="majorHAnsi"/>
          <w:sz w:val="20"/>
        </w:rPr>
      </w:pPr>
      <w:r>
        <w:rPr>
          <w:color w:val="95441D" w:themeColor="text2" w:themeTint="BF"/>
          <w:sz w:val="48"/>
          <w:szCs w:val="48"/>
        </w:rPr>
        <w:t>Bulletin</w:t>
      </w:r>
      <w:r w:rsidR="00910A7F">
        <w:rPr>
          <w:color w:val="95441D" w:themeColor="text2" w:themeTint="BF"/>
          <w:sz w:val="48"/>
          <w:szCs w:val="48"/>
        </w:rPr>
        <w:tab/>
      </w:r>
      <w:r w:rsidR="00910A7F">
        <w:rPr>
          <w:color w:val="95441D" w:themeColor="text2" w:themeTint="BF"/>
          <w:sz w:val="48"/>
          <w:szCs w:val="48"/>
        </w:rPr>
        <w:tab/>
      </w:r>
      <w:r w:rsidR="00910A7F">
        <w:rPr>
          <w:color w:val="95441D" w:themeColor="text2" w:themeTint="BF"/>
          <w:sz w:val="48"/>
          <w:szCs w:val="48"/>
        </w:rPr>
        <w:tab/>
      </w:r>
      <w:r>
        <w:rPr>
          <w:color w:val="95441D" w:themeColor="text2" w:themeTint="BF"/>
          <w:sz w:val="48"/>
          <w:szCs w:val="48"/>
        </w:rPr>
        <w:tab/>
      </w:r>
      <w:r>
        <w:rPr>
          <w:color w:val="95441D" w:themeColor="text2" w:themeTint="BF"/>
          <w:sz w:val="48"/>
          <w:szCs w:val="48"/>
        </w:rPr>
        <w:tab/>
      </w:r>
      <w:r w:rsidR="00910A7F">
        <w:rPr>
          <w:color w:val="95441D" w:themeColor="text2" w:themeTint="BF"/>
          <w:sz w:val="48"/>
          <w:szCs w:val="48"/>
        </w:rPr>
        <w:tab/>
      </w:r>
      <w:r w:rsidR="00401523">
        <w:rPr>
          <w:color w:val="95441D" w:themeColor="text2" w:themeTint="BF"/>
          <w:sz w:val="22"/>
          <w:szCs w:val="22"/>
        </w:rPr>
        <w:t>www.incentivefederation.org</w:t>
      </w:r>
      <w:r w:rsidR="00910A7F">
        <w:rPr>
          <w:color w:val="95441D" w:themeColor="text2" w:themeTint="BF"/>
          <w:sz w:val="48"/>
          <w:szCs w:val="48"/>
        </w:rPr>
        <w:tab/>
      </w:r>
      <w:r w:rsidR="00910A7F">
        <w:rPr>
          <w:color w:val="95441D" w:themeColor="text2" w:themeTint="BF"/>
          <w:sz w:val="48"/>
          <w:szCs w:val="48"/>
        </w:rPr>
        <w:tab/>
      </w:r>
    </w:p>
    <w:p w:rsidR="00A82319" w:rsidRPr="00AA3BD0" w:rsidRDefault="0038535E">
      <w:pPr>
        <w:pStyle w:val="Subtitle"/>
        <w:rPr>
          <w:b/>
          <w:color w:val="003192"/>
          <w:sz w:val="28"/>
          <w:szCs w:val="28"/>
        </w:rPr>
      </w:pPr>
      <w:r w:rsidRPr="00AA3BD0">
        <w:rPr>
          <w:b/>
          <w:color w:val="003192"/>
          <w:sz w:val="28"/>
          <w:szCs w:val="28"/>
        </w:rPr>
        <w:t xml:space="preserve">February </w:t>
      </w:r>
      <w:r w:rsidR="005127F9" w:rsidRPr="00AA3BD0">
        <w:rPr>
          <w:b/>
          <w:color w:val="003192"/>
          <w:sz w:val="28"/>
          <w:szCs w:val="28"/>
        </w:rPr>
        <w:t>2017</w:t>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r w:rsidR="00910A7F" w:rsidRPr="00AA3BD0">
        <w:rPr>
          <w:b/>
          <w:color w:val="003192"/>
          <w:sz w:val="28"/>
          <w:szCs w:val="28"/>
        </w:rPr>
        <w:tab/>
      </w:r>
    </w:p>
    <w:p w:rsidR="00A82319" w:rsidRPr="00F6629D" w:rsidRDefault="00FE1C30" w:rsidP="00A209F2">
      <w:pPr>
        <w:pStyle w:val="Heading1"/>
        <w:ind w:left="3600"/>
      </w:pPr>
      <w:r w:rsidRPr="00F6629D">
        <w:rPr>
          <w:noProof/>
          <w:sz w:val="28"/>
          <w:szCs w:val="28"/>
          <w:lang w:eastAsia="en-US"/>
        </w:rPr>
        <mc:AlternateContent>
          <mc:Choice Requires="wps">
            <w:drawing>
              <wp:anchor distT="182880" distB="182880" distL="274320" distR="274320" simplePos="0" relativeHeight="251659264" behindDoc="0" locked="0" layoutInCell="1" allowOverlap="0" wp14:anchorId="53D07261" wp14:editId="7EC0C9ED">
                <wp:simplePos x="0" y="0"/>
                <wp:positionH relativeFrom="margin">
                  <wp:posOffset>-9525</wp:posOffset>
                </wp:positionH>
                <wp:positionV relativeFrom="paragraph">
                  <wp:posOffset>50800</wp:posOffset>
                </wp:positionV>
                <wp:extent cx="2268855" cy="6610350"/>
                <wp:effectExtent l="0" t="0" r="0" b="0"/>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268855" cy="6610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8F671F">
                                  <w:pPr>
                                    <w:spacing w:before="100" w:beforeAutospacing="1" w:after="100" w:afterAutospacing="1" w:line="240" w:lineRule="auto"/>
                                    <w:outlineLvl w:val="1"/>
                                    <w:rPr>
                                      <w:rFonts w:asciiTheme="majorHAnsi" w:eastAsia="Times New Roman" w:hAnsiTheme="majorHAnsi" w:cstheme="majorHAnsi"/>
                                      <w:b/>
                                      <w:bCs/>
                                      <w:color w:val="DB7544" w:themeColor="text2" w:themeTint="80"/>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line="240" w:lineRule="auto"/>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trPr>
                                <w:trHeight w:hRule="exact" w:val="3312"/>
                              </w:trPr>
                              <w:tc>
                                <w:tcPr>
                                  <w:tcW w:w="3518" w:type="dxa"/>
                                </w:tcPr>
                                <w:p w:rsidR="008F671F" w:rsidRPr="008F671F" w:rsidRDefault="008F671F" w:rsidP="008F671F">
                                  <w:pPr>
                                    <w:spacing w:before="100" w:beforeAutospacing="1" w:after="100" w:afterAutospacing="1" w:line="240" w:lineRule="auto"/>
                                    <w:outlineLvl w:val="0"/>
                                    <w:rPr>
                                      <w:rFonts w:asciiTheme="majorHAnsi" w:eastAsia="Times New Roman" w:hAnsiTheme="majorHAnsi" w:cstheme="majorHAnsi"/>
                                      <w:b/>
                                      <w:bCs/>
                                      <w:color w:val="002060"/>
                                      <w:kern w:val="36"/>
                                      <w:sz w:val="28"/>
                                      <w:szCs w:val="28"/>
                                      <w:lang w:eastAsia="en-US"/>
                                      <w14:ligatures w14:val="none"/>
                                    </w:rPr>
                                  </w:pPr>
                                  <w:r w:rsidRPr="008F671F">
                                    <w:rPr>
                                      <w:rFonts w:asciiTheme="majorHAnsi" w:eastAsia="Times New Roman" w:hAnsiTheme="majorHAnsi" w:cstheme="majorHAnsi"/>
                                      <w:b/>
                                      <w:bCs/>
                                      <w:color w:val="002060"/>
                                      <w:kern w:val="36"/>
                                      <w:sz w:val="28"/>
                                      <w:szCs w:val="28"/>
                                      <w:lang w:eastAsia="en-US"/>
                                      <w14:ligatures w14:val="none"/>
                                    </w:rPr>
                                    <w:t>IFI Mission Statement</w:t>
                                  </w:r>
                                </w:p>
                                <w:p w:rsidR="008F671F" w:rsidRPr="008F671F" w:rsidRDefault="008F671F" w:rsidP="008F671F">
                                  <w:pPr>
                                    <w:spacing w:before="100" w:beforeAutospacing="1" w:after="100" w:afterAutospacing="1" w:line="240" w:lineRule="auto"/>
                                    <w:outlineLvl w:val="2"/>
                                    <w:rPr>
                                      <w:rFonts w:asciiTheme="majorHAnsi" w:eastAsia="Times New Roman" w:hAnsiTheme="majorHAnsi" w:cstheme="majorHAnsi"/>
                                      <w:b/>
                                      <w:bCs/>
                                      <w:color w:val="002060"/>
                                      <w:kern w:val="0"/>
                                      <w:sz w:val="28"/>
                                      <w:szCs w:val="28"/>
                                      <w:lang w:eastAsia="en-US"/>
                                      <w14:ligatures w14:val="none"/>
                                    </w:rPr>
                                  </w:pPr>
                                  <w:r w:rsidRPr="008F671F">
                                    <w:rPr>
                                      <w:rFonts w:asciiTheme="majorHAnsi" w:eastAsia="Times New Roman" w:hAnsiTheme="majorHAnsi" w:cstheme="majorHAnsi"/>
                                      <w:b/>
                                      <w:bCs/>
                                      <w:color w:val="002060"/>
                                      <w:kern w:val="0"/>
                                      <w:sz w:val="28"/>
                                      <w:szCs w:val="28"/>
                                      <w:lang w:eastAsia="en-US"/>
                                      <w14:ligatures w14:val="none"/>
                                    </w:rPr>
                                    <w:t>The Incentive Federation is dedicated to promote, protect and research the incentive field, encompassing recognition, promotional products and related</w:t>
                                  </w:r>
                                  <w:r w:rsidRPr="008F671F">
                                    <w:rPr>
                                      <w:rFonts w:ascii="Times New Roman" w:eastAsia="Times New Roman" w:hAnsi="Times New Roman" w:cs="Times New Roman"/>
                                      <w:b/>
                                      <w:bCs/>
                                      <w:color w:val="002060"/>
                                      <w:kern w:val="0"/>
                                      <w:sz w:val="28"/>
                                      <w:szCs w:val="28"/>
                                      <w:lang w:eastAsia="en-US"/>
                                      <w14:ligatures w14:val="none"/>
                                    </w:rPr>
                                    <w:t xml:space="preserve"> </w:t>
                                  </w:r>
                                  <w:r w:rsidRPr="008F671F">
                                    <w:rPr>
                                      <w:rFonts w:asciiTheme="majorHAnsi" w:eastAsia="Times New Roman" w:hAnsiTheme="majorHAnsi" w:cstheme="majorHAnsi"/>
                                      <w:b/>
                                      <w:bCs/>
                                      <w:color w:val="002060"/>
                                      <w:kern w:val="0"/>
                                      <w:sz w:val="28"/>
                                      <w:szCs w:val="28"/>
                                      <w:lang w:eastAsia="en-US"/>
                                      <w14:ligatures w14:val="none"/>
                                    </w:rPr>
                                    <w:t>promotions</w:t>
                                  </w:r>
                                  <w:r w:rsidR="00A209F2" w:rsidRPr="00A209F2">
                                    <w:rPr>
                                      <w:rFonts w:asciiTheme="majorHAnsi" w:eastAsia="Times New Roman" w:hAnsiTheme="majorHAnsi" w:cstheme="majorHAnsi"/>
                                      <w:b/>
                                      <w:bCs/>
                                      <w:color w:val="002060"/>
                                      <w:kern w:val="0"/>
                                      <w:sz w:val="28"/>
                                      <w:szCs w:val="28"/>
                                      <w:lang w:eastAsia="en-US"/>
                                      <w14:ligatures w14:val="none"/>
                                    </w:rPr>
                                    <w:t>.</w:t>
                                  </w:r>
                                </w:p>
                                <w:p w:rsidR="00A82319" w:rsidRPr="00A209F2" w:rsidRDefault="00A82319"/>
                              </w:tc>
                            </w:tr>
                          </w:tbl>
                          <w:p w:rsidR="00A82319" w:rsidRDefault="00A82319">
                            <w:pPr>
                              <w:pStyle w:val="Caption"/>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07261" id="_x0000_t202" coordsize="21600,21600" o:spt="202" path="m,l,21600r21600,l21600,xe">
                <v:stroke joinstyle="miter"/>
                <v:path gradientshapeok="t" o:connecttype="rect"/>
              </v:shapetype>
              <v:shape id="Text Box 1" o:spid="_x0000_s1026" type="#_x0000_t202" alt="Text box sidebar" style="position:absolute;left:0;text-align:left;margin-left:-.75pt;margin-top:4pt;width:178.65pt;height:520.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" o:allowoverlap="f" filled="f" stroked="f" strokeweight=".5pt">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trPr>
                          <w:trHeight w:hRule="exact" w:val="6048"/>
                        </w:trPr>
                        <w:tc>
                          <w:tcPr>
                            <w:tcW w:w="3518" w:type="dxa"/>
                            <w:shd w:val="clear" w:color="auto" w:fill="AF4E12" w:themeFill="accent1" w:themeFillShade="BF"/>
                            <w:tcMar>
                              <w:top w:w="288" w:type="dxa"/>
                              <w:bottom w:w="288" w:type="dxa"/>
                            </w:tcMar>
                          </w:tcPr>
                          <w:p w:rsidR="008F671F" w:rsidRPr="00AA3BD0" w:rsidRDefault="008F671F" w:rsidP="008F671F">
                            <w:pPr>
                              <w:spacing w:before="100" w:beforeAutospacing="1" w:after="100" w:afterAutospacing="1" w:line="240" w:lineRule="auto"/>
                              <w:outlineLvl w:val="1"/>
                              <w:rPr>
                                <w:rFonts w:asciiTheme="majorHAnsi" w:eastAsia="Times New Roman" w:hAnsiTheme="majorHAnsi" w:cstheme="majorHAnsi"/>
                                <w:b/>
                                <w:bCs/>
                                <w:color w:val="DB7544" w:themeColor="text2" w:themeTint="80"/>
                                <w:kern w:val="0"/>
                                <w:sz w:val="28"/>
                                <w:szCs w:val="28"/>
                                <w:lang w:eastAsia="en-US"/>
                                <w14:ligatures w14:val="none"/>
                              </w:rPr>
                            </w:pPr>
                            <w:r w:rsidRPr="008F671F">
                              <w:rPr>
                                <w:rFonts w:asciiTheme="majorHAnsi" w:eastAsia="Times New Roman" w:hAnsiTheme="majorHAnsi" w:cstheme="majorHAnsi"/>
                                <w:b/>
                                <w:bCs/>
                                <w:color w:val="auto"/>
                                <w:kern w:val="0"/>
                                <w:sz w:val="28"/>
                                <w:szCs w:val="28"/>
                                <w:lang w:eastAsia="en-US"/>
                                <w14:ligatures w14:val="none"/>
                              </w:rPr>
                              <w:t>Who does the Incentive Federation represent?</w:t>
                            </w:r>
                          </w:p>
                          <w:p w:rsidR="008F671F" w:rsidRPr="008F671F" w:rsidRDefault="008F671F" w:rsidP="008F671F">
                            <w:pPr>
                              <w:spacing w:before="100" w:beforeAutospacing="1" w:after="100" w:afterAutospacing="1" w:line="240" w:lineRule="auto"/>
                              <w:rPr>
                                <w:rFonts w:asciiTheme="majorHAnsi" w:eastAsia="Times New Roman" w:hAnsiTheme="majorHAnsi" w:cstheme="majorHAnsi"/>
                                <w:color w:val="auto"/>
                                <w:kern w:val="0"/>
                                <w:sz w:val="24"/>
                                <w:szCs w:val="24"/>
                                <w:lang w:eastAsia="en-US"/>
                                <w14:ligatures w14:val="none"/>
                              </w:rPr>
                            </w:pPr>
                            <w:r w:rsidRPr="008F671F">
                              <w:rPr>
                                <w:rFonts w:asciiTheme="majorHAnsi" w:eastAsia="Times New Roman" w:hAnsiTheme="majorHAnsi" w:cstheme="majorHAnsi"/>
                                <w:color w:val="auto"/>
                                <w:kern w:val="0"/>
                                <w:sz w:val="24"/>
                                <w:szCs w:val="24"/>
                                <w:lang w:eastAsia="en-US"/>
                                <w14:ligatures w14:val="none"/>
                              </w:rPr>
                              <w:t>The Incentive Federation is the only organization whose membership and leadership includes all of the industry’s national trade associations, as well as individual companies. It is under The Incentive Federation umbrella that the collective interests of the Incentive Marketing Association (IMA), the Promotional Products Association International (PPAI), The Incentive Research Foundation (IRF), and Society for Incentive Travel Excellence</w:t>
                            </w:r>
                            <w:r w:rsidR="00A209F2">
                              <w:rPr>
                                <w:rFonts w:asciiTheme="majorHAnsi" w:eastAsia="Times New Roman" w:hAnsiTheme="majorHAnsi" w:cstheme="majorHAnsi"/>
                                <w:color w:val="auto"/>
                                <w:kern w:val="0"/>
                                <w:sz w:val="24"/>
                                <w:szCs w:val="24"/>
                                <w:lang w:eastAsia="en-US"/>
                                <w14:ligatures w14:val="none"/>
                              </w:rPr>
                              <w:t xml:space="preserve"> </w:t>
                            </w:r>
                            <w:r w:rsidRPr="008F671F">
                              <w:rPr>
                                <w:rFonts w:asciiTheme="majorHAnsi" w:eastAsia="Times New Roman" w:hAnsiTheme="majorHAnsi" w:cstheme="majorHAnsi"/>
                                <w:color w:val="auto"/>
                                <w:kern w:val="0"/>
                                <w:sz w:val="24"/>
                                <w:szCs w:val="24"/>
                                <w:lang w:eastAsia="en-US"/>
                                <w14:ligatures w14:val="none"/>
                              </w:rPr>
                              <w:t>(SITE) are discussed, nurtured and advanced.</w:t>
                            </w:r>
                          </w:p>
                          <w:p w:rsidR="00A82319" w:rsidRDefault="00A82319">
                            <w:pPr>
                              <w:pStyle w:val="BlockHeading"/>
                            </w:pPr>
                          </w:p>
                          <w:p w:rsidR="00A82319" w:rsidRDefault="00A82319" w:rsidP="005127F9">
                            <w:pPr>
                              <w:pStyle w:val="BlockText"/>
                            </w:pPr>
                          </w:p>
                        </w:tc>
                      </w:tr>
                      <w:tr w:rsidR="00A82319">
                        <w:trPr>
                          <w:trHeight w:hRule="exact" w:val="288"/>
                        </w:trPr>
                        <w:tc>
                          <w:tcPr>
                            <w:tcW w:w="3518" w:type="dxa"/>
                          </w:tcPr>
                          <w:p w:rsidR="00A82319" w:rsidRPr="00A209F2" w:rsidRDefault="00A82319"/>
                        </w:tc>
                      </w:tr>
                      <w:tr w:rsidR="00A82319">
                        <w:trPr>
                          <w:trHeight w:hRule="exact" w:val="3312"/>
                        </w:trPr>
                        <w:tc>
                          <w:tcPr>
                            <w:tcW w:w="3518" w:type="dxa"/>
                          </w:tcPr>
                          <w:p w:rsidR="008F671F" w:rsidRPr="008F671F" w:rsidRDefault="008F671F" w:rsidP="008F671F">
                            <w:pPr>
                              <w:spacing w:before="100" w:beforeAutospacing="1" w:after="100" w:afterAutospacing="1" w:line="240" w:lineRule="auto"/>
                              <w:outlineLvl w:val="0"/>
                              <w:rPr>
                                <w:rFonts w:asciiTheme="majorHAnsi" w:eastAsia="Times New Roman" w:hAnsiTheme="majorHAnsi" w:cstheme="majorHAnsi"/>
                                <w:b/>
                                <w:bCs/>
                                <w:color w:val="002060"/>
                                <w:kern w:val="36"/>
                                <w:sz w:val="28"/>
                                <w:szCs w:val="28"/>
                                <w:lang w:eastAsia="en-US"/>
                                <w14:ligatures w14:val="none"/>
                              </w:rPr>
                            </w:pPr>
                            <w:r w:rsidRPr="008F671F">
                              <w:rPr>
                                <w:rFonts w:asciiTheme="majorHAnsi" w:eastAsia="Times New Roman" w:hAnsiTheme="majorHAnsi" w:cstheme="majorHAnsi"/>
                                <w:b/>
                                <w:bCs/>
                                <w:color w:val="002060"/>
                                <w:kern w:val="36"/>
                                <w:sz w:val="28"/>
                                <w:szCs w:val="28"/>
                                <w:lang w:eastAsia="en-US"/>
                                <w14:ligatures w14:val="none"/>
                              </w:rPr>
                              <w:t>IFI Mission Statement</w:t>
                            </w:r>
                          </w:p>
                          <w:p w:rsidR="008F671F" w:rsidRPr="008F671F" w:rsidRDefault="008F671F" w:rsidP="008F671F">
                            <w:pPr>
                              <w:spacing w:before="100" w:beforeAutospacing="1" w:after="100" w:afterAutospacing="1" w:line="240" w:lineRule="auto"/>
                              <w:outlineLvl w:val="2"/>
                              <w:rPr>
                                <w:rFonts w:asciiTheme="majorHAnsi" w:eastAsia="Times New Roman" w:hAnsiTheme="majorHAnsi" w:cstheme="majorHAnsi"/>
                                <w:b/>
                                <w:bCs/>
                                <w:color w:val="002060"/>
                                <w:kern w:val="0"/>
                                <w:sz w:val="28"/>
                                <w:szCs w:val="28"/>
                                <w:lang w:eastAsia="en-US"/>
                                <w14:ligatures w14:val="none"/>
                              </w:rPr>
                            </w:pPr>
                            <w:r w:rsidRPr="008F671F">
                              <w:rPr>
                                <w:rFonts w:asciiTheme="majorHAnsi" w:eastAsia="Times New Roman" w:hAnsiTheme="majorHAnsi" w:cstheme="majorHAnsi"/>
                                <w:b/>
                                <w:bCs/>
                                <w:color w:val="002060"/>
                                <w:kern w:val="0"/>
                                <w:sz w:val="28"/>
                                <w:szCs w:val="28"/>
                                <w:lang w:eastAsia="en-US"/>
                                <w14:ligatures w14:val="none"/>
                              </w:rPr>
                              <w:t>The Incentive Federation is dedicated to promote, protect and research the incentive field, encompassing recognition, promotional products and related</w:t>
                            </w:r>
                            <w:r w:rsidRPr="008F671F">
                              <w:rPr>
                                <w:rFonts w:ascii="Times New Roman" w:eastAsia="Times New Roman" w:hAnsi="Times New Roman" w:cs="Times New Roman"/>
                                <w:b/>
                                <w:bCs/>
                                <w:color w:val="002060"/>
                                <w:kern w:val="0"/>
                                <w:sz w:val="28"/>
                                <w:szCs w:val="28"/>
                                <w:lang w:eastAsia="en-US"/>
                                <w14:ligatures w14:val="none"/>
                              </w:rPr>
                              <w:t xml:space="preserve"> </w:t>
                            </w:r>
                            <w:r w:rsidRPr="008F671F">
                              <w:rPr>
                                <w:rFonts w:asciiTheme="majorHAnsi" w:eastAsia="Times New Roman" w:hAnsiTheme="majorHAnsi" w:cstheme="majorHAnsi"/>
                                <w:b/>
                                <w:bCs/>
                                <w:color w:val="002060"/>
                                <w:kern w:val="0"/>
                                <w:sz w:val="28"/>
                                <w:szCs w:val="28"/>
                                <w:lang w:eastAsia="en-US"/>
                                <w14:ligatures w14:val="none"/>
                              </w:rPr>
                              <w:t>promotions</w:t>
                            </w:r>
                            <w:r w:rsidR="00A209F2" w:rsidRPr="00A209F2">
                              <w:rPr>
                                <w:rFonts w:asciiTheme="majorHAnsi" w:eastAsia="Times New Roman" w:hAnsiTheme="majorHAnsi" w:cstheme="majorHAnsi"/>
                                <w:b/>
                                <w:bCs/>
                                <w:color w:val="002060"/>
                                <w:kern w:val="0"/>
                                <w:sz w:val="28"/>
                                <w:szCs w:val="28"/>
                                <w:lang w:eastAsia="en-US"/>
                                <w14:ligatures w14:val="none"/>
                              </w:rPr>
                              <w:t>.</w:t>
                            </w:r>
                          </w:p>
                          <w:p w:rsidR="00A82319" w:rsidRPr="00A209F2" w:rsidRDefault="00A82319"/>
                        </w:tc>
                      </w:tr>
                    </w:tbl>
                    <w:p w:rsidR="00A82319" w:rsidRDefault="00A82319">
                      <w:pPr>
                        <w:pStyle w:val="Caption"/>
                      </w:pPr>
                    </w:p>
                  </w:txbxContent>
                </v:textbox>
                <w10:wrap type="square" anchorx="margin"/>
              </v:shape>
            </w:pict>
          </mc:Fallback>
        </mc:AlternateContent>
      </w:r>
      <w:r w:rsidR="005127F9" w:rsidRPr="00F6629D">
        <w:t>2017 Plans and Agenda</w:t>
      </w:r>
    </w:p>
    <w:p w:rsidR="00A82319" w:rsidRPr="00804D1B" w:rsidRDefault="003177A2">
      <w:pPr>
        <w:rPr>
          <w:rFonts w:ascii="Arial" w:hAnsi="Arial" w:cs="Arial"/>
          <w:color w:val="000000" w:themeColor="text1"/>
        </w:rPr>
      </w:pPr>
      <w:r w:rsidRPr="00804D1B">
        <w:rPr>
          <w:rFonts w:ascii="Arial" w:hAnsi="Arial" w:cs="Arial"/>
          <w:color w:val="000000" w:themeColor="text1"/>
        </w:rPr>
        <w:t xml:space="preserve">The IFI Board of Directors voted in 2016 to slightly scale back the Federation’s plans for 2017, choosing to focus on </w:t>
      </w:r>
      <w:r w:rsidR="008B254D" w:rsidRPr="00804D1B">
        <w:rPr>
          <w:rFonts w:ascii="Arial" w:hAnsi="Arial" w:cs="Arial"/>
          <w:color w:val="000000" w:themeColor="text1"/>
        </w:rPr>
        <w:t>influencing</w:t>
      </w:r>
      <w:r w:rsidRPr="00804D1B">
        <w:rPr>
          <w:rFonts w:ascii="Arial" w:hAnsi="Arial" w:cs="Arial"/>
          <w:color w:val="000000" w:themeColor="text1"/>
        </w:rPr>
        <w:t xml:space="preserve"> </w:t>
      </w:r>
      <w:r w:rsidR="00F6629D" w:rsidRPr="00804D1B">
        <w:rPr>
          <w:rFonts w:ascii="Arial" w:hAnsi="Arial" w:cs="Arial"/>
          <w:color w:val="000000" w:themeColor="text1"/>
        </w:rPr>
        <w:t>decisions about</w:t>
      </w:r>
      <w:r w:rsidRPr="00804D1B">
        <w:rPr>
          <w:rFonts w:ascii="Arial" w:hAnsi="Arial" w:cs="Arial"/>
          <w:color w:val="000000" w:themeColor="text1"/>
        </w:rPr>
        <w:t xml:space="preserve"> specific provisions of the U.S. tax code that might favor the incentive industry. Given the new administration’s declared interest in reforming and simplifying both business and individual tax regulations, the Board believes the best use of its resources is to monitor tax reform efforts </w:t>
      </w:r>
      <w:r w:rsidR="00AA3BD0" w:rsidRPr="00804D1B">
        <w:rPr>
          <w:rFonts w:ascii="Arial" w:hAnsi="Arial" w:cs="Arial"/>
          <w:color w:val="000000" w:themeColor="text1"/>
        </w:rPr>
        <w:t xml:space="preserve">and other pertinent legal issues </w:t>
      </w:r>
      <w:r w:rsidRPr="00804D1B">
        <w:rPr>
          <w:rFonts w:ascii="Arial" w:hAnsi="Arial" w:cs="Arial"/>
          <w:color w:val="000000" w:themeColor="text1"/>
        </w:rPr>
        <w:t>in 2017.</w:t>
      </w:r>
    </w:p>
    <w:p w:rsidR="00CC4D55" w:rsidRPr="00A236FF" w:rsidRDefault="00CC4D55" w:rsidP="00CC4D55">
      <w:pPr>
        <w:rPr>
          <w:rFonts w:ascii="Arial" w:hAnsi="Arial" w:cs="Arial"/>
          <w:b/>
          <w:color w:val="AF4E12" w:themeColor="accent1" w:themeShade="BF"/>
          <w:sz w:val="24"/>
          <w:szCs w:val="24"/>
        </w:rPr>
      </w:pPr>
      <w:r w:rsidRPr="00A236FF">
        <w:rPr>
          <w:rFonts w:ascii="Arial" w:hAnsi="Arial" w:cs="Arial"/>
          <w:b/>
          <w:color w:val="AF4E12" w:themeColor="accent1" w:themeShade="BF"/>
          <w:sz w:val="24"/>
          <w:szCs w:val="24"/>
        </w:rPr>
        <w:t>The IRS Issues Legal Advice Regarding Customer Loyalty and Rewards Programs</w:t>
      </w:r>
    </w:p>
    <w:p w:rsidR="00CC4D55" w:rsidRDefault="00CC4D55" w:rsidP="00CC4D55">
      <w:pPr>
        <w:rPr>
          <w:rFonts w:ascii="Arial" w:hAnsi="Arial" w:cs="Arial"/>
        </w:rPr>
      </w:pPr>
      <w:r>
        <w:rPr>
          <w:rFonts w:ascii="Arial" w:hAnsi="Arial" w:cs="Arial"/>
        </w:rPr>
        <w:t xml:space="preserve">George Delta, IFI’s Legal Counsel, has provided his bi-monthly Legal Update for IFI members. The topic covered relates to customer loyalty and rewards programs, so if you sell, offer or manage those types of programs, George’s update offers some valuable information for you, your customers and especially the accounting professionals you rely on. </w:t>
      </w:r>
    </w:p>
    <w:p w:rsidR="00CC4D55" w:rsidRPr="00826B0D" w:rsidRDefault="00CC4D55" w:rsidP="00CC4D55">
      <w:pPr>
        <w:rPr>
          <w:rFonts w:ascii="Arial" w:hAnsi="Arial" w:cs="Arial"/>
        </w:rPr>
      </w:pPr>
      <w:r w:rsidRPr="00826B0D">
        <w:rPr>
          <w:rFonts w:ascii="Arial" w:hAnsi="Arial" w:cs="Arial"/>
        </w:rPr>
        <w:t>The I</w:t>
      </w:r>
      <w:r>
        <w:rPr>
          <w:rFonts w:ascii="Arial" w:hAnsi="Arial" w:cs="Arial"/>
        </w:rPr>
        <w:t>RS</w:t>
      </w:r>
      <w:r w:rsidRPr="00826B0D">
        <w:rPr>
          <w:rFonts w:ascii="Arial" w:hAnsi="Arial" w:cs="Arial"/>
        </w:rPr>
        <w:t xml:space="preserve"> has recently issued Legal Advice setting forth its position that an accrual method taxpayer cannot account for the costs of redeeming points in its “hybrid coupon” customer rewards program under the Treas</w:t>
      </w:r>
      <w:r>
        <w:rPr>
          <w:rFonts w:ascii="Arial" w:hAnsi="Arial" w:cs="Arial"/>
        </w:rPr>
        <w:t>ury</w:t>
      </w:r>
      <w:r w:rsidRPr="00826B0D">
        <w:rPr>
          <w:rFonts w:ascii="Arial" w:hAnsi="Arial" w:cs="Arial"/>
        </w:rPr>
        <w:t xml:space="preserve"> rules that apply to “premium” coupons.  </w:t>
      </w:r>
      <w:r>
        <w:rPr>
          <w:rFonts w:ascii="Arial" w:hAnsi="Arial" w:cs="Arial"/>
        </w:rPr>
        <w:t>T</w:t>
      </w:r>
      <w:r w:rsidRPr="00826B0D">
        <w:rPr>
          <w:rFonts w:ascii="Arial" w:hAnsi="Arial" w:cs="Arial"/>
        </w:rPr>
        <w:t>his legal advice memorandum is important to companies that operate loyalty programs, because if their programs can meet the definition of a “premium” coupon, they would be allowed to deduct their reasonable estimated redemption costs from gross receipts with respect to sales with which they issue points.  (The regulations in question are old, and they refer to trading stamps or premium coupons instead of their current equivalent, points)</w:t>
      </w:r>
      <w:r w:rsidR="005F3C73">
        <w:rPr>
          <w:rFonts w:ascii="Arial" w:hAnsi="Arial" w:cs="Arial"/>
        </w:rPr>
        <w:t>.</w:t>
      </w:r>
    </w:p>
    <w:p w:rsidR="00CC4D55" w:rsidRDefault="00CC4D55" w:rsidP="00CC4D55">
      <w:pPr>
        <w:rPr>
          <w:rFonts w:ascii="Arial" w:hAnsi="Arial" w:cs="Arial"/>
          <w:color w:val="000000"/>
          <w:shd w:val="clear" w:color="auto" w:fill="FFFFFF"/>
        </w:rPr>
      </w:pPr>
      <w:r w:rsidRPr="00CC4D55">
        <w:rPr>
          <w:rFonts w:ascii="Arial" w:hAnsi="Arial" w:cs="Arial"/>
          <w:color w:val="000000"/>
          <w:shd w:val="clear" w:color="auto" w:fill="FFFFFF"/>
        </w:rPr>
        <w:t>In effect, if you can get the points issued under your loyalty program to meet the definitional requirements of "premium coupons," you can estimate and currently deduct your redemption costs.  Otherwise, you can only deduct the cost of points as customers redeem them.  Deduction upon redemption is the normal rule, so the IRS wants to limit the scope of what constitutes a "premium coupon."</w:t>
      </w:r>
    </w:p>
    <w:p w:rsidR="00CC4D55" w:rsidRPr="00826B0D" w:rsidRDefault="00CC4D55" w:rsidP="00CC4D55">
      <w:pPr>
        <w:rPr>
          <w:sz w:val="24"/>
          <w:szCs w:val="24"/>
        </w:rPr>
      </w:pPr>
      <w:r>
        <w:rPr>
          <w:rFonts w:ascii="Arial" w:hAnsi="Arial" w:cs="Arial"/>
          <w:color w:val="000000"/>
          <w:shd w:val="clear" w:color="auto" w:fill="FFFFFF"/>
        </w:rPr>
        <w:t xml:space="preserve">For a more complete explanation of the IRS advice on rewards programs, click </w:t>
      </w:r>
      <w:hyperlink r:id="rId8" w:history="1">
        <w:r w:rsidRPr="00D46161">
          <w:rPr>
            <w:rStyle w:val="Hyperlink"/>
            <w:rFonts w:ascii="Arial" w:hAnsi="Arial" w:cs="Arial"/>
            <w:shd w:val="clear" w:color="auto" w:fill="FFFFFF"/>
          </w:rPr>
          <w:t>here</w:t>
        </w:r>
      </w:hyperlink>
      <w:r>
        <w:rPr>
          <w:rFonts w:ascii="Arial" w:hAnsi="Arial" w:cs="Arial"/>
          <w:color w:val="000000"/>
          <w:shd w:val="clear" w:color="auto" w:fill="FFFFFF"/>
        </w:rPr>
        <w:t xml:space="preserve">. </w:t>
      </w:r>
    </w:p>
    <w:p w:rsidR="00CC4D55" w:rsidRDefault="00CC4D55" w:rsidP="00F6629D">
      <w:pPr>
        <w:rPr>
          <w:rFonts w:asciiTheme="majorHAnsi" w:hAnsiTheme="majorHAnsi" w:cstheme="majorHAnsi"/>
          <w:color w:val="95441D" w:themeColor="text2" w:themeTint="BF"/>
          <w:sz w:val="22"/>
          <w:szCs w:val="22"/>
          <w:lang w:val="en"/>
        </w:rPr>
      </w:pPr>
    </w:p>
    <w:p w:rsidR="00A82319" w:rsidRPr="00A236FF" w:rsidRDefault="00F6629D" w:rsidP="00F6629D">
      <w:pPr>
        <w:rPr>
          <w:rFonts w:asciiTheme="majorHAnsi" w:hAnsiTheme="majorHAnsi" w:cstheme="majorHAnsi"/>
          <w:b/>
          <w:color w:val="auto"/>
          <w:sz w:val="24"/>
          <w:szCs w:val="24"/>
          <w:lang w:val="en"/>
        </w:rPr>
      </w:pPr>
      <w:r w:rsidRPr="00A236FF">
        <w:rPr>
          <w:rFonts w:asciiTheme="majorHAnsi" w:hAnsiTheme="majorHAnsi" w:cstheme="majorHAnsi"/>
          <w:b/>
          <w:color w:val="95441D" w:themeColor="text2" w:themeTint="BF"/>
          <w:sz w:val="24"/>
          <w:szCs w:val="24"/>
          <w:lang w:val="en"/>
        </w:rPr>
        <w:t>OSHA’s Criticism of Safety Incentive Programs</w:t>
      </w:r>
    </w:p>
    <w:p w:rsidR="00F6629D" w:rsidRPr="00F6629D" w:rsidRDefault="00F6629D" w:rsidP="00F6629D">
      <w:pPr>
        <w:rPr>
          <w:rFonts w:asciiTheme="majorHAnsi" w:hAnsiTheme="majorHAnsi" w:cstheme="majorHAnsi"/>
          <w:color w:val="auto"/>
        </w:rPr>
      </w:pPr>
      <w:r>
        <w:rPr>
          <w:rFonts w:asciiTheme="majorHAnsi" w:hAnsiTheme="majorHAnsi" w:cstheme="majorHAnsi"/>
          <w:color w:val="auto"/>
          <w:lang w:val="en"/>
        </w:rPr>
        <w:t xml:space="preserve">The </w:t>
      </w:r>
      <w:r w:rsidR="00CC4D55">
        <w:rPr>
          <w:rFonts w:asciiTheme="majorHAnsi" w:hAnsiTheme="majorHAnsi" w:cstheme="majorHAnsi"/>
          <w:color w:val="auto"/>
          <w:lang w:val="en"/>
        </w:rPr>
        <w:t xml:space="preserve">Incentive Federation’s home page at </w:t>
      </w:r>
      <w:hyperlink r:id="rId9" w:history="1">
        <w:r w:rsidR="00CC4D55" w:rsidRPr="00521A6A">
          <w:rPr>
            <w:rStyle w:val="Hyperlink"/>
            <w:rFonts w:asciiTheme="majorHAnsi" w:hAnsiTheme="majorHAnsi" w:cstheme="majorHAnsi"/>
            <w:lang w:val="en"/>
          </w:rPr>
          <w:t>www.incentivefederation.org</w:t>
        </w:r>
      </w:hyperlink>
      <w:r w:rsidR="00CC4D55">
        <w:rPr>
          <w:rFonts w:asciiTheme="majorHAnsi" w:hAnsiTheme="majorHAnsi" w:cstheme="majorHAnsi"/>
          <w:color w:val="auto"/>
          <w:lang w:val="en"/>
        </w:rPr>
        <w:t xml:space="preserve"> includes a fairly detailed description of </w:t>
      </w:r>
      <w:r w:rsidR="00CC4D55" w:rsidRPr="00CC4D55">
        <w:rPr>
          <w:rFonts w:asciiTheme="majorHAnsi" w:hAnsiTheme="majorHAnsi" w:cstheme="majorHAnsi"/>
          <w:color w:val="auto"/>
          <w:lang w:val="en"/>
        </w:rPr>
        <w:t xml:space="preserve">OSHA’s </w:t>
      </w:r>
      <w:r w:rsidR="00CC4D55" w:rsidRPr="00CC4D55">
        <w:rPr>
          <w:rFonts w:ascii="Arial" w:hAnsi="Arial" w:cs="Arial"/>
          <w:color w:val="000000"/>
          <w:shd w:val="clear" w:color="auto" w:fill="FFFFFF"/>
        </w:rPr>
        <w:t>Safety and Health Program Management Guidelines</w:t>
      </w:r>
      <w:r>
        <w:rPr>
          <w:rFonts w:asciiTheme="majorHAnsi" w:hAnsiTheme="majorHAnsi" w:cstheme="majorHAnsi"/>
          <w:color w:val="auto"/>
          <w:lang w:val="en"/>
        </w:rPr>
        <w:t xml:space="preserve"> </w:t>
      </w:r>
      <w:r w:rsidR="00CC4D55">
        <w:rPr>
          <w:rFonts w:asciiTheme="majorHAnsi" w:hAnsiTheme="majorHAnsi" w:cstheme="majorHAnsi"/>
          <w:color w:val="auto"/>
          <w:lang w:val="en"/>
        </w:rPr>
        <w:t xml:space="preserve">that were issued in December 2016. Links are provided to review the guidelines and as well as explanatory memos from OSHA. The </w:t>
      </w:r>
      <w:r w:rsidR="00D46161">
        <w:rPr>
          <w:rFonts w:asciiTheme="majorHAnsi" w:hAnsiTheme="majorHAnsi" w:cstheme="majorHAnsi"/>
          <w:color w:val="auto"/>
          <w:lang w:val="en"/>
        </w:rPr>
        <w:t xml:space="preserve">Federation </w:t>
      </w:r>
      <w:r>
        <w:rPr>
          <w:rFonts w:asciiTheme="majorHAnsi" w:hAnsiTheme="majorHAnsi" w:cstheme="majorHAnsi"/>
          <w:color w:val="auto"/>
          <w:lang w:val="en"/>
        </w:rPr>
        <w:t xml:space="preserve">filed formal </w:t>
      </w:r>
      <w:r w:rsidR="00A620D1">
        <w:rPr>
          <w:rFonts w:asciiTheme="majorHAnsi" w:hAnsiTheme="majorHAnsi" w:cstheme="majorHAnsi"/>
          <w:color w:val="auto"/>
          <w:lang w:val="en"/>
        </w:rPr>
        <w:t xml:space="preserve">comments opposing certain positions </w:t>
      </w:r>
      <w:r w:rsidR="00AC0ABB">
        <w:rPr>
          <w:rFonts w:asciiTheme="majorHAnsi" w:hAnsiTheme="majorHAnsi" w:cstheme="majorHAnsi"/>
          <w:color w:val="auto"/>
          <w:lang w:val="en"/>
        </w:rPr>
        <w:t xml:space="preserve">and skepticism </w:t>
      </w:r>
      <w:r w:rsidR="00A620D1">
        <w:rPr>
          <w:rFonts w:asciiTheme="majorHAnsi" w:hAnsiTheme="majorHAnsi" w:cstheme="majorHAnsi"/>
          <w:color w:val="auto"/>
          <w:lang w:val="en"/>
        </w:rPr>
        <w:t xml:space="preserve">the Occupational Safety and Health Administration has </w:t>
      </w:r>
      <w:r w:rsidR="00AC0ABB">
        <w:rPr>
          <w:rFonts w:asciiTheme="majorHAnsi" w:hAnsiTheme="majorHAnsi" w:cstheme="majorHAnsi"/>
          <w:color w:val="auto"/>
          <w:lang w:val="en"/>
        </w:rPr>
        <w:t>expressed</w:t>
      </w:r>
      <w:r w:rsidR="00A620D1">
        <w:rPr>
          <w:rFonts w:asciiTheme="majorHAnsi" w:hAnsiTheme="majorHAnsi" w:cstheme="majorHAnsi"/>
          <w:color w:val="auto"/>
          <w:lang w:val="en"/>
        </w:rPr>
        <w:t xml:space="preserve"> in criticizing safety incentive programs. </w:t>
      </w:r>
      <w:r w:rsidR="00AC0ABB">
        <w:rPr>
          <w:rFonts w:asciiTheme="majorHAnsi" w:hAnsiTheme="majorHAnsi" w:cstheme="majorHAnsi"/>
          <w:color w:val="auto"/>
          <w:lang w:val="en"/>
        </w:rPr>
        <w:t>The Federation will continue to monitor OSHA’s guidelines and represent the industry’s position that incentive</w:t>
      </w:r>
      <w:r w:rsidR="00D46161">
        <w:rPr>
          <w:rFonts w:asciiTheme="majorHAnsi" w:hAnsiTheme="majorHAnsi" w:cstheme="majorHAnsi"/>
          <w:color w:val="auto"/>
          <w:lang w:val="en"/>
        </w:rPr>
        <w:t xml:space="preserve"> programs</w:t>
      </w:r>
      <w:r w:rsidR="00AC0ABB">
        <w:rPr>
          <w:rFonts w:asciiTheme="majorHAnsi" w:hAnsiTheme="majorHAnsi" w:cstheme="majorHAnsi"/>
          <w:color w:val="auto"/>
          <w:lang w:val="en"/>
        </w:rPr>
        <w:t xml:space="preserve"> do work to help foster a productive and safe workplace. </w:t>
      </w:r>
    </w:p>
    <w:p w:rsidR="00A236FF" w:rsidRDefault="00A236FF" w:rsidP="00A236FF">
      <w:pPr>
        <w:rPr>
          <w:rFonts w:asciiTheme="majorHAnsi" w:hAnsiTheme="majorHAnsi" w:cstheme="majorHAnsi"/>
          <w:b/>
          <w:color w:val="95441D" w:themeColor="text2" w:themeTint="BF"/>
          <w:sz w:val="24"/>
          <w:szCs w:val="24"/>
        </w:rPr>
      </w:pPr>
      <w:r>
        <w:rPr>
          <w:rFonts w:asciiTheme="majorHAnsi" w:hAnsiTheme="majorHAnsi" w:cstheme="majorHAnsi"/>
          <w:b/>
          <w:color w:val="95441D" w:themeColor="text2" w:themeTint="BF"/>
          <w:sz w:val="24"/>
          <w:szCs w:val="24"/>
        </w:rPr>
        <w:t xml:space="preserve">Spotlight on </w:t>
      </w:r>
      <w:r w:rsidRPr="00212FBB">
        <w:rPr>
          <w:rFonts w:asciiTheme="majorHAnsi" w:hAnsiTheme="majorHAnsi" w:cstheme="majorHAnsi"/>
          <w:b/>
          <w:color w:val="95441D" w:themeColor="text2" w:themeTint="BF"/>
          <w:sz w:val="24"/>
          <w:szCs w:val="24"/>
        </w:rPr>
        <w:t>Incentive Industry Research</w:t>
      </w:r>
    </w:p>
    <w:p w:rsidR="00A236FF" w:rsidRPr="00475B24" w:rsidRDefault="00A236FF" w:rsidP="00A236FF">
      <w:pPr>
        <w:rPr>
          <w:rFonts w:ascii="Helvetica" w:hAnsi="Helvetica"/>
          <w:b/>
          <w:color w:val="373737"/>
        </w:rPr>
      </w:pPr>
      <w:r w:rsidRPr="00475B24">
        <w:rPr>
          <w:rFonts w:ascii="Helvetica" w:hAnsi="Helvetica"/>
          <w:b/>
          <w:color w:val="373737"/>
        </w:rPr>
        <w:t>PPAI’s 2017 Consumer Study – Mapping Out the Modern Consumer</w:t>
      </w:r>
    </w:p>
    <w:p w:rsidR="00A236FF" w:rsidRDefault="00A236FF" w:rsidP="00A236FF">
      <w:pPr>
        <w:spacing w:after="0"/>
        <w:rPr>
          <w:rFonts w:ascii="Arial" w:eastAsia="Times New Roman" w:hAnsi="Arial" w:cs="Arial"/>
          <w:b/>
          <w:sz w:val="21"/>
          <w:szCs w:val="21"/>
        </w:rPr>
      </w:pPr>
      <w:r w:rsidRPr="00475B24">
        <w:rPr>
          <w:rFonts w:ascii="Arial" w:hAnsi="Arial" w:cs="Arial"/>
          <w:color w:val="373737"/>
        </w:rPr>
        <w:t xml:space="preserve">This study confirms U.S. consumers view promotional products as an important role in advertising. Consumers like promotional products. Consumers keep promotional products. Consumers have spoken and they praise promotional products as the leading advertising vehicle for brands. </w:t>
      </w:r>
      <w:r>
        <w:rPr>
          <w:rFonts w:ascii="Arial" w:hAnsi="Arial" w:cs="Arial"/>
          <w:color w:val="373737"/>
        </w:rPr>
        <w:t>The study finds that n</w:t>
      </w:r>
      <w:r w:rsidRPr="00475B24">
        <w:rPr>
          <w:rStyle w:val="Strong"/>
          <w:rFonts w:ascii="Arial" w:eastAsia="Times New Roman" w:hAnsi="Arial" w:cs="Arial"/>
          <w:b w:val="0"/>
        </w:rPr>
        <w:t xml:space="preserve">ine In 10 </w:t>
      </w:r>
      <w:r>
        <w:rPr>
          <w:rStyle w:val="Strong"/>
          <w:rFonts w:ascii="Arial" w:eastAsia="Times New Roman" w:hAnsi="Arial" w:cs="Arial"/>
          <w:b w:val="0"/>
        </w:rPr>
        <w:t>c</w:t>
      </w:r>
      <w:r w:rsidRPr="00475B24">
        <w:rPr>
          <w:rStyle w:val="Strong"/>
          <w:rFonts w:ascii="Arial" w:eastAsia="Times New Roman" w:hAnsi="Arial" w:cs="Arial"/>
          <w:b w:val="0"/>
        </w:rPr>
        <w:t xml:space="preserve">onsumers </w:t>
      </w:r>
      <w:r>
        <w:rPr>
          <w:rStyle w:val="Strong"/>
          <w:rFonts w:ascii="Arial" w:eastAsia="Times New Roman" w:hAnsi="Arial" w:cs="Arial"/>
          <w:b w:val="0"/>
        </w:rPr>
        <w:t>r</w:t>
      </w:r>
      <w:r w:rsidRPr="00475B24">
        <w:rPr>
          <w:rStyle w:val="Strong"/>
          <w:rFonts w:ascii="Arial" w:eastAsia="Times New Roman" w:hAnsi="Arial" w:cs="Arial"/>
          <w:b w:val="0"/>
        </w:rPr>
        <w:t xml:space="preserve">emember </w:t>
      </w:r>
      <w:r>
        <w:rPr>
          <w:rStyle w:val="Strong"/>
          <w:rFonts w:ascii="Arial" w:eastAsia="Times New Roman" w:hAnsi="Arial" w:cs="Arial"/>
          <w:b w:val="0"/>
        </w:rPr>
        <w:t>b</w:t>
      </w:r>
      <w:r w:rsidRPr="00475B24">
        <w:rPr>
          <w:rStyle w:val="Strong"/>
          <w:rFonts w:ascii="Arial" w:eastAsia="Times New Roman" w:hAnsi="Arial" w:cs="Arial"/>
          <w:b w:val="0"/>
        </w:rPr>
        <w:t xml:space="preserve">randing </w:t>
      </w:r>
      <w:r>
        <w:rPr>
          <w:rStyle w:val="Strong"/>
          <w:rFonts w:ascii="Arial" w:eastAsia="Times New Roman" w:hAnsi="Arial" w:cs="Arial"/>
          <w:b w:val="0"/>
        </w:rPr>
        <w:t>o</w:t>
      </w:r>
      <w:r w:rsidRPr="00475B24">
        <w:rPr>
          <w:rStyle w:val="Strong"/>
          <w:rFonts w:ascii="Arial" w:eastAsia="Times New Roman" w:hAnsi="Arial" w:cs="Arial"/>
          <w:b w:val="0"/>
        </w:rPr>
        <w:t xml:space="preserve">n </w:t>
      </w:r>
      <w:r>
        <w:rPr>
          <w:rStyle w:val="Strong"/>
          <w:rFonts w:ascii="Arial" w:eastAsia="Times New Roman" w:hAnsi="Arial" w:cs="Arial"/>
          <w:b w:val="0"/>
        </w:rPr>
        <w:t>p</w:t>
      </w:r>
      <w:r w:rsidRPr="00475B24">
        <w:rPr>
          <w:rStyle w:val="Strong"/>
          <w:rFonts w:ascii="Arial" w:eastAsia="Times New Roman" w:hAnsi="Arial" w:cs="Arial"/>
          <w:b w:val="0"/>
        </w:rPr>
        <w:t xml:space="preserve">romotional </w:t>
      </w:r>
      <w:r>
        <w:rPr>
          <w:rStyle w:val="Strong"/>
          <w:rFonts w:ascii="Arial" w:eastAsia="Times New Roman" w:hAnsi="Arial" w:cs="Arial"/>
          <w:b w:val="0"/>
        </w:rPr>
        <w:t>p</w:t>
      </w:r>
      <w:r w:rsidRPr="00475B24">
        <w:rPr>
          <w:rStyle w:val="Strong"/>
          <w:rFonts w:ascii="Arial" w:eastAsia="Times New Roman" w:hAnsi="Arial" w:cs="Arial"/>
          <w:b w:val="0"/>
        </w:rPr>
        <w:t>roducts</w:t>
      </w:r>
      <w:r>
        <w:rPr>
          <w:rFonts w:ascii="Arial" w:eastAsia="Times New Roman" w:hAnsi="Arial" w:cs="Arial"/>
          <w:b/>
          <w:sz w:val="21"/>
          <w:szCs w:val="21"/>
        </w:rPr>
        <w:t>.</w:t>
      </w:r>
    </w:p>
    <w:p w:rsidR="00A236FF" w:rsidRDefault="00A236FF" w:rsidP="00A236FF">
      <w:pPr>
        <w:spacing w:after="0"/>
        <w:rPr>
          <w:rFonts w:asciiTheme="majorHAnsi" w:hAnsiTheme="majorHAnsi" w:cstheme="majorHAnsi"/>
          <w:b/>
          <w:color w:val="95441D" w:themeColor="text2" w:themeTint="BF"/>
          <w:sz w:val="24"/>
          <w:szCs w:val="24"/>
        </w:rPr>
      </w:pPr>
      <w:r w:rsidRPr="00475B24">
        <w:rPr>
          <w:rFonts w:ascii="Helvetica" w:hAnsi="Helvetica"/>
          <w:color w:val="373737"/>
        </w:rPr>
        <w:br/>
      </w:r>
      <w:r>
        <w:rPr>
          <w:rFonts w:ascii="Helvetica" w:hAnsi="Helvetica"/>
          <w:color w:val="373737"/>
        </w:rPr>
        <w:t xml:space="preserve">In 2015, promotional products shared almost seven percent of the advertising market in the U.S. alone, at $21 billion; however, the medium is ranked highest by consumers across all generations as the most effective advertising vehicle. </w:t>
      </w:r>
      <w:r>
        <w:rPr>
          <w:rFonts w:ascii="Helvetica" w:hAnsi="Helvetica"/>
          <w:color w:val="373737"/>
        </w:rPr>
        <w:br/>
      </w:r>
      <w:r>
        <w:rPr>
          <w:rFonts w:ascii="Helvetica" w:hAnsi="Helvetica"/>
          <w:color w:val="373737"/>
        </w:rPr>
        <w:br/>
        <w:t xml:space="preserve">This is good news for promotional products, marketers and advertisers. Review the research study </w:t>
      </w:r>
      <w:hyperlink r:id="rId10" w:history="1">
        <w:r w:rsidRPr="00A236FF">
          <w:rPr>
            <w:rStyle w:val="Hyperlink"/>
            <w:rFonts w:ascii="Helvetica" w:hAnsi="Helvetica"/>
          </w:rPr>
          <w:t>here</w:t>
        </w:r>
      </w:hyperlink>
      <w:r>
        <w:rPr>
          <w:rFonts w:ascii="Helvetica" w:hAnsi="Helvetica"/>
          <w:color w:val="373737"/>
        </w:rPr>
        <w:t xml:space="preserve">. </w:t>
      </w:r>
    </w:p>
    <w:p w:rsidR="00A236FF" w:rsidRDefault="00A236FF" w:rsidP="00A236FF">
      <w:pPr>
        <w:spacing w:after="0"/>
        <w:rPr>
          <w:rFonts w:asciiTheme="majorHAnsi" w:hAnsiTheme="majorHAnsi" w:cstheme="majorHAnsi"/>
          <w:b/>
          <w:color w:val="95441D" w:themeColor="text2" w:themeTint="BF"/>
          <w:sz w:val="24"/>
          <w:szCs w:val="24"/>
        </w:rPr>
      </w:pPr>
    </w:p>
    <w:p w:rsidR="00AC0ABB" w:rsidRPr="00212FBB" w:rsidRDefault="00AC0ABB">
      <w:pPr>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2017 Board of Directors</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sidR="00A176E5">
        <w:rPr>
          <w:rFonts w:asciiTheme="majorHAnsi" w:hAnsiTheme="majorHAnsi" w:cstheme="majorHAnsi"/>
        </w:rPr>
        <w:t xml:space="preserve">CAE, </w:t>
      </w:r>
      <w:r>
        <w:rPr>
          <w:rFonts w:asciiTheme="majorHAnsi" w:hAnsiTheme="majorHAnsi" w:cstheme="majorHAnsi"/>
        </w:rPr>
        <w:t>President, Promotional Products Association International</w:t>
      </w:r>
    </w:p>
    <w:p w:rsidR="00684A01" w:rsidRDefault="00684A01" w:rsidP="00684A01">
      <w:pPr>
        <w:spacing w:after="0"/>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sidR="00A176E5">
        <w:rPr>
          <w:rFonts w:asciiTheme="majorHAnsi" w:hAnsiTheme="majorHAnsi" w:cstheme="majorHAnsi"/>
        </w:rPr>
        <w:t xml:space="preserve">CAE, CMP, </w:t>
      </w:r>
      <w:r>
        <w:rPr>
          <w:rFonts w:asciiTheme="majorHAnsi" w:hAnsiTheme="majorHAnsi" w:cstheme="majorHAnsi"/>
        </w:rPr>
        <w:t>Executive Director, Incentive Marketing Association</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Second Vice Chair, Associations – </w:t>
      </w:r>
      <w:r w:rsidRPr="00387A00">
        <w:rPr>
          <w:rFonts w:asciiTheme="majorHAnsi" w:hAnsiTheme="majorHAnsi" w:cstheme="majorHAnsi"/>
          <w:b/>
        </w:rPr>
        <w:t>Kevin Hinton</w:t>
      </w:r>
      <w:r w:rsidRPr="00684A01">
        <w:rPr>
          <w:rFonts w:asciiTheme="majorHAnsi" w:hAnsiTheme="majorHAnsi" w:cstheme="majorHAnsi"/>
        </w:rPr>
        <w:t xml:space="preserve">, </w:t>
      </w:r>
      <w:r w:rsidR="00A176E5">
        <w:rPr>
          <w:rFonts w:asciiTheme="majorHAnsi" w:hAnsiTheme="majorHAnsi" w:cstheme="majorHAnsi"/>
        </w:rPr>
        <w:t xml:space="preserve">CIS, </w:t>
      </w:r>
      <w:r>
        <w:rPr>
          <w:rFonts w:asciiTheme="majorHAnsi" w:hAnsiTheme="majorHAnsi" w:cstheme="majorHAnsi"/>
        </w:rPr>
        <w:t>CEO, Society of Incentive Travel Excellenc</w:t>
      </w:r>
      <w:r w:rsidR="002B1396">
        <w:rPr>
          <w:rFonts w:asciiTheme="majorHAnsi" w:hAnsiTheme="majorHAnsi" w:cstheme="majorHAnsi"/>
        </w:rPr>
        <w:t>e</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Third Vice Chair, Associations – </w:t>
      </w:r>
      <w:r w:rsidRPr="00387A00">
        <w:rPr>
          <w:rFonts w:asciiTheme="majorHAnsi" w:hAnsiTheme="majorHAnsi" w:cstheme="majorHAnsi"/>
          <w:b/>
        </w:rPr>
        <w:t>Melissa Van Dyke</w:t>
      </w:r>
      <w:r w:rsidRPr="00684A01">
        <w:rPr>
          <w:rFonts w:asciiTheme="majorHAnsi" w:hAnsiTheme="majorHAnsi" w:cstheme="majorHAnsi"/>
        </w:rPr>
        <w:t xml:space="preserve">, </w:t>
      </w:r>
      <w:r>
        <w:rPr>
          <w:rFonts w:asciiTheme="majorHAnsi" w:hAnsiTheme="majorHAnsi" w:cstheme="majorHAnsi"/>
        </w:rPr>
        <w:t>President. The Incentive Research Foundation</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sidR="00A176E5">
        <w:rPr>
          <w:rFonts w:asciiTheme="majorHAnsi" w:hAnsiTheme="majorHAnsi" w:cstheme="majorHAnsi"/>
        </w:rPr>
        <w:t xml:space="preserve">CRP, CPIM, </w:t>
      </w:r>
      <w:r>
        <w:rPr>
          <w:rFonts w:asciiTheme="majorHAnsi" w:hAnsiTheme="majorHAnsi" w:cstheme="majorHAnsi"/>
        </w:rPr>
        <w:t xml:space="preserve">Vice President, </w:t>
      </w:r>
      <w:r w:rsidR="00A176E5">
        <w:rPr>
          <w:rFonts w:asciiTheme="majorHAnsi" w:hAnsiTheme="majorHAnsi" w:cstheme="majorHAnsi"/>
        </w:rPr>
        <w:t>Marketing</w:t>
      </w:r>
      <w:r>
        <w:rPr>
          <w:rFonts w:asciiTheme="majorHAnsi" w:hAnsiTheme="majorHAnsi" w:cstheme="majorHAnsi"/>
        </w:rPr>
        <w:t xml:space="preserve">, </w:t>
      </w:r>
      <w:r w:rsidRPr="00684A01">
        <w:rPr>
          <w:rFonts w:asciiTheme="majorHAnsi" w:hAnsiTheme="majorHAnsi" w:cstheme="majorHAnsi"/>
        </w:rPr>
        <w:t>O.C. Tanner</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sidR="00A176E5">
        <w:rPr>
          <w:rFonts w:asciiTheme="majorHAnsi" w:hAnsiTheme="majorHAnsi" w:cstheme="majorHAnsi"/>
        </w:rPr>
        <w:t xml:space="preserve">CPIM, </w:t>
      </w:r>
      <w:r>
        <w:rPr>
          <w:rFonts w:asciiTheme="majorHAnsi" w:hAnsiTheme="majorHAnsi" w:cstheme="majorHAnsi"/>
        </w:rPr>
        <w:t xml:space="preserve">Senior Vice President, </w:t>
      </w:r>
      <w:r w:rsidRPr="00684A01">
        <w:rPr>
          <w:rFonts w:asciiTheme="majorHAnsi" w:hAnsiTheme="majorHAnsi" w:cstheme="majorHAnsi"/>
        </w:rPr>
        <w:t>IncentPros, Inc.</w:t>
      </w:r>
    </w:p>
    <w:p w:rsidR="00684A01" w:rsidRDefault="00684A01" w:rsidP="00684A01">
      <w:pPr>
        <w:spacing w:after="0"/>
        <w:rPr>
          <w:rFonts w:asciiTheme="majorHAnsi" w:hAnsiTheme="majorHAnsi" w:cstheme="majorHAnsi"/>
        </w:rPr>
      </w:pPr>
      <w:r w:rsidRPr="00684A01">
        <w:rPr>
          <w:rFonts w:asciiTheme="majorHAnsi" w:hAnsiTheme="majorHAnsi" w:cstheme="majorHAnsi"/>
        </w:rPr>
        <w:t xml:space="preserve">Secretary – </w:t>
      </w:r>
      <w:r w:rsidRPr="00387A00">
        <w:rPr>
          <w:rFonts w:asciiTheme="majorHAnsi" w:hAnsiTheme="majorHAnsi" w:cstheme="majorHAnsi"/>
          <w:b/>
        </w:rPr>
        <w:t>Kimberly Carrette</w:t>
      </w:r>
      <w:r w:rsidRPr="00684A01">
        <w:rPr>
          <w:rFonts w:asciiTheme="majorHAnsi" w:hAnsiTheme="majorHAnsi" w:cstheme="majorHAnsi"/>
        </w:rPr>
        <w:t xml:space="preserve">, </w:t>
      </w:r>
      <w:r w:rsidR="006237F4">
        <w:rPr>
          <w:rFonts w:asciiTheme="majorHAnsi" w:hAnsiTheme="majorHAnsi" w:cstheme="majorHAnsi"/>
        </w:rPr>
        <w:t xml:space="preserve">Senior </w:t>
      </w:r>
      <w:r w:rsidR="002C6786">
        <w:rPr>
          <w:rFonts w:asciiTheme="majorHAnsi" w:hAnsiTheme="majorHAnsi" w:cstheme="majorHAnsi"/>
        </w:rPr>
        <w:t xml:space="preserve">Manager, </w:t>
      </w:r>
      <w:r w:rsidR="006237F4">
        <w:rPr>
          <w:rFonts w:asciiTheme="majorHAnsi" w:hAnsiTheme="majorHAnsi" w:cstheme="majorHAnsi"/>
        </w:rPr>
        <w:t xml:space="preserve">Canon Professional Services, </w:t>
      </w:r>
      <w:bookmarkStart w:id="0" w:name="_GoBack"/>
      <w:bookmarkEnd w:id="0"/>
      <w:r w:rsidRPr="00684A01">
        <w:rPr>
          <w:rFonts w:asciiTheme="majorHAnsi" w:hAnsiTheme="majorHAnsi" w:cstheme="majorHAnsi"/>
        </w:rPr>
        <w:t>CanonUSA</w:t>
      </w:r>
    </w:p>
    <w:p w:rsidR="00A176E5" w:rsidRDefault="00A176E5" w:rsidP="00684A01">
      <w:pPr>
        <w:spacing w:after="0"/>
        <w:rPr>
          <w:rFonts w:asciiTheme="majorHAnsi" w:hAnsiTheme="majorHAnsi" w:cstheme="majorHAnsi"/>
        </w:rPr>
      </w:pPr>
      <w:r>
        <w:rPr>
          <w:rFonts w:asciiTheme="majorHAnsi" w:hAnsiTheme="majorHAnsi" w:cstheme="majorHAnsi"/>
        </w:rPr>
        <w:t xml:space="preserve">Director - </w:t>
      </w:r>
      <w:r w:rsidRPr="00A176E5">
        <w:rPr>
          <w:rFonts w:ascii="Arial" w:hAnsi="Arial" w:cs="Arial"/>
          <w:b/>
          <w:color w:val="000000"/>
          <w:shd w:val="clear" w:color="auto" w:fill="FFFFFF"/>
        </w:rPr>
        <w:t>Richard Blabolil</w:t>
      </w:r>
      <w:r w:rsidRPr="00A176E5">
        <w:rPr>
          <w:rFonts w:ascii="Arial" w:hAnsi="Arial" w:cs="Arial"/>
          <w:color w:val="000000"/>
          <w:shd w:val="clear" w:color="auto" w:fill="FFFFFF"/>
        </w:rPr>
        <w:t xml:space="preserve">, </w:t>
      </w:r>
      <w:r>
        <w:rPr>
          <w:rFonts w:ascii="Arial" w:hAnsi="Arial" w:cs="Arial"/>
          <w:color w:val="000000"/>
          <w:shd w:val="clear" w:color="auto" w:fill="FFFFFF"/>
        </w:rPr>
        <w:t xml:space="preserve">President, </w:t>
      </w:r>
      <w:r w:rsidRPr="00A176E5">
        <w:rPr>
          <w:rFonts w:ascii="Arial" w:hAnsi="Arial" w:cs="Arial"/>
          <w:color w:val="000000"/>
          <w:shd w:val="clear" w:color="auto" w:fill="FFFFFF"/>
        </w:rPr>
        <w:t>CPIM</w:t>
      </w:r>
    </w:p>
    <w:p w:rsidR="0038535E" w:rsidRPr="00684A01" w:rsidRDefault="0038535E" w:rsidP="00684A01">
      <w:pPr>
        <w:spacing w:after="0"/>
        <w:rPr>
          <w:rFonts w:asciiTheme="majorHAnsi" w:hAnsiTheme="majorHAnsi" w:cstheme="majorHAnsi"/>
        </w:rPr>
      </w:pPr>
      <w:r>
        <w:rPr>
          <w:rFonts w:asciiTheme="majorHAnsi" w:hAnsiTheme="majorHAnsi" w:cstheme="majorHAnsi"/>
        </w:rPr>
        <w:t xml:space="preserve">Director </w:t>
      </w:r>
      <w:r w:rsidRPr="00A176E5">
        <w:rPr>
          <w:rFonts w:asciiTheme="majorHAnsi" w:hAnsiTheme="majorHAnsi" w:cstheme="majorHAnsi"/>
          <w:b/>
        </w:rPr>
        <w:t>– Brian Galonek</w:t>
      </w:r>
      <w:r>
        <w:rPr>
          <w:rFonts w:asciiTheme="majorHAnsi" w:hAnsiTheme="majorHAnsi" w:cstheme="majorHAnsi"/>
        </w:rPr>
        <w:t>,</w:t>
      </w:r>
      <w:r w:rsidR="00A176E5">
        <w:rPr>
          <w:rFonts w:asciiTheme="majorHAnsi" w:hAnsiTheme="majorHAnsi" w:cstheme="majorHAnsi"/>
        </w:rPr>
        <w:t xml:space="preserve"> CPIM,</w:t>
      </w:r>
      <w:r>
        <w:rPr>
          <w:rFonts w:asciiTheme="majorHAnsi" w:hAnsiTheme="majorHAnsi" w:cstheme="majorHAnsi"/>
        </w:rPr>
        <w:t xml:space="preserve"> </w:t>
      </w:r>
      <w:r w:rsidR="00A176E5">
        <w:rPr>
          <w:rFonts w:asciiTheme="majorHAnsi" w:hAnsiTheme="majorHAnsi" w:cstheme="majorHAnsi"/>
        </w:rPr>
        <w:t xml:space="preserve">President, </w:t>
      </w:r>
      <w:r>
        <w:rPr>
          <w:rFonts w:asciiTheme="majorHAnsi" w:hAnsiTheme="majorHAnsi" w:cstheme="majorHAnsi"/>
        </w:rPr>
        <w:t xml:space="preserve">All Star </w:t>
      </w:r>
      <w:r w:rsidR="00A176E5">
        <w:rPr>
          <w:rFonts w:asciiTheme="majorHAnsi" w:hAnsiTheme="majorHAnsi" w:cstheme="majorHAnsi"/>
        </w:rPr>
        <w:t>Incentive Marketing</w:t>
      </w:r>
    </w:p>
    <w:p w:rsidR="00684A01" w:rsidRPr="00684A01" w:rsidRDefault="00684A01" w:rsidP="00684A01">
      <w:pPr>
        <w:spacing w:after="0"/>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Kimberly Abel-Lanier</w:t>
      </w:r>
      <w:r w:rsidRPr="00684A01">
        <w:rPr>
          <w:rFonts w:asciiTheme="majorHAnsi" w:hAnsiTheme="majorHAnsi" w:cstheme="majorHAnsi"/>
        </w:rPr>
        <w:t xml:space="preserve">, </w:t>
      </w:r>
      <w:r w:rsidR="002C6786">
        <w:rPr>
          <w:rFonts w:asciiTheme="majorHAnsi" w:hAnsiTheme="majorHAnsi" w:cstheme="majorHAnsi"/>
        </w:rPr>
        <w:t xml:space="preserve">Employee Solutions Leader, </w:t>
      </w:r>
      <w:r w:rsidRPr="00684A01">
        <w:rPr>
          <w:rFonts w:asciiTheme="majorHAnsi" w:hAnsiTheme="majorHAnsi" w:cstheme="majorHAnsi"/>
        </w:rPr>
        <w:t>Maritz Motivation Solutions</w:t>
      </w:r>
    </w:p>
    <w:p w:rsidR="00684A01" w:rsidRDefault="00684A01" w:rsidP="00401523">
      <w:pPr>
        <w:spacing w:after="0"/>
        <w:rPr>
          <w:rFonts w:asciiTheme="majorHAnsi" w:hAnsiTheme="majorHAnsi" w:cstheme="majorHAnsi"/>
        </w:rPr>
      </w:pPr>
      <w:r w:rsidRPr="00684A01">
        <w:rPr>
          <w:rFonts w:asciiTheme="majorHAnsi" w:hAnsiTheme="majorHAnsi" w:cstheme="majorHAnsi"/>
        </w:rPr>
        <w:t xml:space="preserve">Director – </w:t>
      </w:r>
      <w:r w:rsidRPr="00387A00">
        <w:rPr>
          <w:rFonts w:asciiTheme="majorHAnsi" w:hAnsiTheme="majorHAnsi" w:cstheme="majorHAnsi"/>
          <w:b/>
        </w:rPr>
        <w:t>Peter Hart</w:t>
      </w:r>
      <w:r w:rsidRPr="00684A01">
        <w:rPr>
          <w:rFonts w:asciiTheme="majorHAnsi" w:hAnsiTheme="majorHAnsi" w:cstheme="majorHAnsi"/>
        </w:rPr>
        <w:t xml:space="preserve">, </w:t>
      </w:r>
      <w:r w:rsidR="00A176E5">
        <w:rPr>
          <w:rFonts w:asciiTheme="majorHAnsi" w:hAnsiTheme="majorHAnsi" w:cstheme="majorHAnsi"/>
        </w:rPr>
        <w:t xml:space="preserve">CRP, </w:t>
      </w:r>
      <w:r w:rsidR="002C6786">
        <w:rPr>
          <w:rFonts w:asciiTheme="majorHAnsi" w:hAnsiTheme="majorHAnsi" w:cstheme="majorHAnsi"/>
        </w:rPr>
        <w:t xml:space="preserve">CEO, </w:t>
      </w:r>
      <w:r w:rsidRPr="00684A01">
        <w:rPr>
          <w:rFonts w:asciiTheme="majorHAnsi" w:hAnsiTheme="majorHAnsi" w:cstheme="majorHAnsi"/>
        </w:rPr>
        <w:t>Rideau Recognition Solutions</w:t>
      </w:r>
    </w:p>
    <w:p w:rsidR="00FE1C30" w:rsidRPr="00684A01" w:rsidRDefault="00FE1C30" w:rsidP="00401523">
      <w:pPr>
        <w:spacing w:after="0"/>
        <w:rPr>
          <w:rFonts w:asciiTheme="majorHAnsi" w:hAnsiTheme="majorHAnsi" w:cstheme="majorHAnsi"/>
        </w:rPr>
      </w:pPr>
      <w:r>
        <w:rPr>
          <w:rFonts w:asciiTheme="majorHAnsi" w:hAnsiTheme="majorHAnsi" w:cstheme="majorHAnsi"/>
        </w:rPr>
        <w:t xml:space="preserve">Executive Director </w:t>
      </w:r>
      <w:r w:rsidR="00387A00">
        <w:rPr>
          <w:rFonts w:asciiTheme="majorHAnsi" w:hAnsiTheme="majorHAnsi" w:cstheme="majorHAnsi"/>
        </w:rPr>
        <w:t>and Counsel</w:t>
      </w:r>
      <w:r>
        <w:rPr>
          <w:rFonts w:asciiTheme="majorHAnsi" w:hAnsiTheme="majorHAnsi" w:cstheme="majorHAnsi"/>
        </w:rPr>
        <w:t xml:space="preserve">– </w:t>
      </w:r>
      <w:r w:rsidRPr="00387A00">
        <w:rPr>
          <w:rFonts w:asciiTheme="majorHAnsi" w:hAnsiTheme="majorHAnsi" w:cstheme="majorHAnsi"/>
          <w:b/>
        </w:rPr>
        <w:t>George Delta</w:t>
      </w:r>
      <w:r w:rsidR="00387A00">
        <w:rPr>
          <w:rFonts w:asciiTheme="majorHAnsi" w:hAnsiTheme="majorHAnsi" w:cstheme="majorHAnsi"/>
        </w:rPr>
        <w:t>, Esquire</w:t>
      </w:r>
    </w:p>
    <w:p w:rsidR="000D1396" w:rsidRDefault="00401523" w:rsidP="00401523">
      <w:pPr>
        <w:tabs>
          <w:tab w:val="left" w:pos="1740"/>
        </w:tabs>
        <w:spacing w:after="0"/>
      </w:pPr>
      <w:r>
        <w:tab/>
      </w:r>
    </w:p>
    <w:p w:rsidR="000238A2" w:rsidRDefault="00910A7F" w:rsidP="00A236FF">
      <w:pPr>
        <w:spacing w:after="0"/>
        <w:rPr>
          <w:rFonts w:asciiTheme="majorHAnsi" w:hAnsiTheme="majorHAnsi" w:cstheme="majorHAnsi"/>
          <w:b/>
          <w:color w:val="95441D" w:themeColor="text2" w:themeTint="BF"/>
          <w:sz w:val="24"/>
          <w:szCs w:val="24"/>
        </w:rPr>
      </w:pPr>
      <w:r w:rsidRPr="00212FBB">
        <w:rPr>
          <w:rFonts w:asciiTheme="majorHAnsi" w:hAnsiTheme="majorHAnsi" w:cstheme="majorHAnsi"/>
          <w:b/>
          <w:color w:val="95441D" w:themeColor="text2" w:themeTint="BF"/>
          <w:sz w:val="24"/>
          <w:szCs w:val="24"/>
        </w:rPr>
        <w:t>Questions, Concerns, Requests</w:t>
      </w:r>
    </w:p>
    <w:p w:rsidR="00A236FF" w:rsidRPr="00212FBB" w:rsidRDefault="00A236FF" w:rsidP="00A236FF">
      <w:pPr>
        <w:spacing w:after="0"/>
        <w:rPr>
          <w:rFonts w:asciiTheme="majorHAnsi" w:hAnsiTheme="majorHAnsi" w:cstheme="majorHAnsi"/>
          <w:b/>
          <w:color w:val="95441D" w:themeColor="text2" w:themeTint="BF"/>
          <w:sz w:val="24"/>
          <w:szCs w:val="24"/>
        </w:rPr>
      </w:pPr>
    </w:p>
    <w:p w:rsidR="00A82319" w:rsidRDefault="00910A7F" w:rsidP="00BC6B81">
      <w:pPr>
        <w:rPr>
          <w:rFonts w:asciiTheme="majorHAnsi" w:hAnsiTheme="majorHAnsi" w:cstheme="majorHAnsi"/>
          <w:color w:val="auto"/>
        </w:rPr>
      </w:pPr>
      <w:r>
        <w:rPr>
          <w:rFonts w:asciiTheme="majorHAnsi" w:hAnsiTheme="majorHAnsi" w:cstheme="majorHAnsi"/>
          <w:color w:val="auto"/>
        </w:rPr>
        <w:t xml:space="preserve">Please contact the Federation if you have any questions or learn of any issues you believe the Federation should be aware of. Since the Federation’s founding in 1984, its effectiveness in representing and protecting the industry with one voice has only been made possible through the financial support and active participation of industry organizations and companies. </w:t>
      </w:r>
    </w:p>
    <w:p w:rsidR="00FE1C30" w:rsidRPr="00910A7F" w:rsidRDefault="00D605DC" w:rsidP="00BC6B81">
      <w:pPr>
        <w:rPr>
          <w:rFonts w:asciiTheme="majorHAnsi" w:hAnsiTheme="majorHAnsi" w:cstheme="majorHAnsi"/>
          <w:color w:val="auto"/>
        </w:rPr>
      </w:pPr>
      <w:r>
        <w:rPr>
          <w:rFonts w:asciiTheme="majorHAnsi" w:hAnsiTheme="majorHAnsi" w:cstheme="majorHAnsi"/>
          <w:color w:val="auto"/>
        </w:rPr>
        <w:t xml:space="preserve">Contact: Steve Slagle, </w:t>
      </w:r>
      <w:r w:rsidR="007462B7">
        <w:rPr>
          <w:rFonts w:asciiTheme="majorHAnsi" w:hAnsiTheme="majorHAnsi" w:cstheme="majorHAnsi"/>
          <w:color w:val="auto"/>
        </w:rPr>
        <w:t xml:space="preserve">IFI </w:t>
      </w:r>
      <w:r>
        <w:rPr>
          <w:rFonts w:asciiTheme="majorHAnsi" w:hAnsiTheme="majorHAnsi" w:cstheme="majorHAnsi"/>
          <w:color w:val="auto"/>
        </w:rPr>
        <w:t>Managing Director</w:t>
      </w:r>
      <w:r w:rsidR="007462B7">
        <w:rPr>
          <w:rFonts w:asciiTheme="majorHAnsi" w:hAnsiTheme="majorHAnsi" w:cstheme="majorHAnsi"/>
          <w:color w:val="auto"/>
        </w:rPr>
        <w:t>,</w:t>
      </w:r>
      <w:r>
        <w:rPr>
          <w:rFonts w:asciiTheme="majorHAnsi" w:hAnsiTheme="majorHAnsi" w:cstheme="majorHAnsi"/>
          <w:color w:val="auto"/>
        </w:rPr>
        <w:t xml:space="preserve"> at </w:t>
      </w:r>
      <w:hyperlink r:id="rId11" w:history="1">
        <w:r w:rsidR="007462B7" w:rsidRPr="006E0323">
          <w:rPr>
            <w:rStyle w:val="Hyperlink"/>
            <w:rFonts w:asciiTheme="majorHAnsi" w:hAnsiTheme="majorHAnsi" w:cstheme="majorHAnsi"/>
          </w:rPr>
          <w:t>steves3309@gmail.com</w:t>
        </w:r>
      </w:hyperlink>
      <w:r w:rsidR="007462B7">
        <w:rPr>
          <w:rFonts w:asciiTheme="majorHAnsi" w:hAnsiTheme="majorHAnsi" w:cstheme="majorHAnsi"/>
          <w:color w:val="auto"/>
        </w:rPr>
        <w:t xml:space="preserve"> or 864-710-6739.</w:t>
      </w:r>
    </w:p>
    <w:sectPr w:rsidR="00FE1C30" w:rsidRPr="00910A7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FB" w:rsidRDefault="008504FB">
      <w:pPr>
        <w:spacing w:after="0" w:line="240" w:lineRule="auto"/>
      </w:pPr>
      <w:r>
        <w:separator/>
      </w:r>
    </w:p>
  </w:endnote>
  <w:endnote w:type="continuationSeparator" w:id="0">
    <w:p w:rsidR="008504FB" w:rsidRDefault="0085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FB" w:rsidRDefault="008504FB">
      <w:pPr>
        <w:spacing w:after="0" w:line="240" w:lineRule="auto"/>
      </w:pPr>
      <w:r>
        <w:separator/>
      </w:r>
    </w:p>
  </w:footnote>
  <w:footnote w:type="continuationSeparator" w:id="0">
    <w:p w:rsidR="008504FB" w:rsidRDefault="008504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26"/>
    <w:rsid w:val="000238A2"/>
    <w:rsid w:val="000364EF"/>
    <w:rsid w:val="000511E6"/>
    <w:rsid w:val="0008445B"/>
    <w:rsid w:val="000D1396"/>
    <w:rsid w:val="001663AF"/>
    <w:rsid w:val="00212FBB"/>
    <w:rsid w:val="002B1396"/>
    <w:rsid w:val="002C6786"/>
    <w:rsid w:val="003177A2"/>
    <w:rsid w:val="0038535E"/>
    <w:rsid w:val="00387A00"/>
    <w:rsid w:val="00401523"/>
    <w:rsid w:val="00475B24"/>
    <w:rsid w:val="005127F9"/>
    <w:rsid w:val="005F3C73"/>
    <w:rsid w:val="006237F4"/>
    <w:rsid w:val="00684A01"/>
    <w:rsid w:val="007462B7"/>
    <w:rsid w:val="0077658D"/>
    <w:rsid w:val="00804D1B"/>
    <w:rsid w:val="008504FB"/>
    <w:rsid w:val="008956E6"/>
    <w:rsid w:val="008B254D"/>
    <w:rsid w:val="008F671F"/>
    <w:rsid w:val="00910A7F"/>
    <w:rsid w:val="00A176E5"/>
    <w:rsid w:val="00A209F2"/>
    <w:rsid w:val="00A236FF"/>
    <w:rsid w:val="00A620D1"/>
    <w:rsid w:val="00A66A12"/>
    <w:rsid w:val="00A80826"/>
    <w:rsid w:val="00A82319"/>
    <w:rsid w:val="00AA3BD0"/>
    <w:rsid w:val="00AC0ABB"/>
    <w:rsid w:val="00B430C3"/>
    <w:rsid w:val="00BB6673"/>
    <w:rsid w:val="00BC6B81"/>
    <w:rsid w:val="00C50E0D"/>
    <w:rsid w:val="00CC4D55"/>
    <w:rsid w:val="00D458DD"/>
    <w:rsid w:val="00D46161"/>
    <w:rsid w:val="00D605DC"/>
    <w:rsid w:val="00F03248"/>
    <w:rsid w:val="00F1573F"/>
    <w:rsid w:val="00F6629D"/>
    <w:rsid w:val="00FE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60" w:after="140"/>
      <w:outlineLvl w:val="0"/>
    </w:pPr>
    <w:rPr>
      <w:rFonts w:asciiTheme="majorHAnsi" w:eastAsiaTheme="majorEastAsia" w:hAnsiTheme="majorHAnsi" w:cstheme="majorBidi"/>
      <w:b/>
      <w:bCs/>
      <w:caps/>
      <w:color w:val="AF4E12" w:themeColor="accent1" w:themeShade="BF"/>
      <w:sz w:val="24"/>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
    <w:qFormat/>
    <w:pPr>
      <w:spacing w:before="120" w:after="0" w:line="204" w:lineRule="auto"/>
      <w:contextualSpacing/>
    </w:pPr>
    <w:rPr>
      <w:rFonts w:asciiTheme="majorHAnsi" w:eastAsiaTheme="majorEastAsia" w:hAnsiTheme="majorHAnsi" w:cstheme="majorBidi"/>
      <w:b/>
      <w:bCs/>
      <w:caps/>
      <w:kern w:val="28"/>
      <w:sz w:val="78"/>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78"/>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3"/>
    <w:rPr>
      <w:rFonts w:asciiTheme="majorHAnsi" w:eastAsiaTheme="majorEastAsia" w:hAnsiTheme="majorHAnsi" w:cstheme="majorBidi"/>
      <w:b/>
      <w:bCs/>
      <w:caps/>
      <w:color w:val="AF4E12" w:themeColor="accent1" w:themeShade="BF"/>
      <w:sz w:val="24"/>
    </w:rPr>
  </w:style>
  <w:style w:type="paragraph" w:customStyle="1" w:styleId="BlockHeading">
    <w:name w:val="Block Heading"/>
    <w:basedOn w:val="Normal"/>
    <w:next w:val="BlockText"/>
    <w:uiPriority w:val="3"/>
    <w:qFormat/>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
    <w:unhideWhenUsed/>
    <w:qFormat/>
    <w:pPr>
      <w:spacing w:before="120" w:after="0" w:line="240" w:lineRule="auto"/>
    </w:pPr>
    <w:rPr>
      <w:i/>
      <w:iCs/>
      <w:color w:val="595959" w:themeColor="text1" w:themeTint="A6"/>
      <w:sz w:val="18"/>
    </w:rPr>
  </w:style>
  <w:style w:type="paragraph" w:styleId="BlockText">
    <w:name w:val="Block Text"/>
    <w:basedOn w:val="Normal"/>
    <w:uiPriority w:val="3"/>
    <w:unhideWhenUsed/>
    <w:qFormat/>
    <w:pPr>
      <w:spacing w:after="180" w:line="312" w:lineRule="auto"/>
      <w:ind w:left="288" w:right="288"/>
    </w:pPr>
    <w:rPr>
      <w:color w:val="FFFFFF" w:themeColor="background1"/>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color w:val="auto"/>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line="240" w:lineRule="auto"/>
    </w:pPr>
    <w:rPr>
      <w:rFonts w:ascii="Times New Roman" w:eastAsia="Times New Roman" w:hAnsi="Times New Roman" w:cs="Times New Roman"/>
      <w:color w:val="auto"/>
      <w:kern w:val="0"/>
      <w:sz w:val="24"/>
      <w:szCs w:val="24"/>
      <w:lang w:eastAsia="en-US"/>
      <w14:ligatures w14:val="none"/>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75B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entivefederation.org/wp-content/uploads/2017/02/IF-Wash-Update-02.15.17-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teves3309@gmail.com" TargetMode="External"/><Relationship Id="rId5" Type="http://schemas.openxmlformats.org/officeDocument/2006/relationships/footnotes" Target="footnotes.xml"/><Relationship Id="rId10" Type="http://schemas.openxmlformats.org/officeDocument/2006/relationships/hyperlink" Target="http://www.incentivefederation.org/wp-content/uploads/2017/02/PPAI2017ConsumerStudyReport.pdf" TargetMode="External"/><Relationship Id="rId4" Type="http://schemas.openxmlformats.org/officeDocument/2006/relationships/webSettings" Target="webSettings.xml"/><Relationship Id="rId9" Type="http://schemas.openxmlformats.org/officeDocument/2006/relationships/hyperlink" Target="http://www.incentivefedera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61</TotalTime>
  <Pages>2</Pages>
  <Words>814</Words>
  <Characters>4645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12</cp:revision>
  <cp:lastPrinted>2017-01-06T18:59:00Z</cp:lastPrinted>
  <dcterms:created xsi:type="dcterms:W3CDTF">2017-02-15T16:34:00Z</dcterms:created>
  <dcterms:modified xsi:type="dcterms:W3CDTF">2017-02-16T19:25:00Z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