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7">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7462B7" w:rsidRDefault="007462B7" w:rsidP="00D605DC">
      <w:pPr>
        <w:pStyle w:val="Title"/>
        <w:rPr>
          <w:color w:val="95441D" w:themeColor="text2" w:themeTint="BF"/>
          <w:sz w:val="48"/>
          <w:szCs w:val="48"/>
        </w:rPr>
      </w:pPr>
    </w:p>
    <w:p w:rsidR="00D605DC" w:rsidRPr="00D605DC" w:rsidRDefault="00C50E0D" w:rsidP="00D605DC">
      <w:pPr>
        <w:pStyle w:val="Title"/>
        <w:rPr>
          <w:rFonts w:cstheme="majorHAnsi"/>
          <w:sz w:val="20"/>
        </w:rPr>
      </w:pPr>
      <w:r>
        <w:rPr>
          <w:color w:val="95441D" w:themeColor="text2" w:themeTint="BF"/>
          <w:sz w:val="48"/>
          <w:szCs w:val="48"/>
        </w:rPr>
        <w:t>Bulletin</w:t>
      </w:r>
      <w:r w:rsidR="00910A7F">
        <w:rPr>
          <w:color w:val="95441D" w:themeColor="text2" w:themeTint="BF"/>
          <w:sz w:val="48"/>
          <w:szCs w:val="48"/>
        </w:rPr>
        <w:tab/>
      </w:r>
      <w:r w:rsidR="00910A7F">
        <w:rPr>
          <w:color w:val="95441D" w:themeColor="text2" w:themeTint="BF"/>
          <w:sz w:val="48"/>
          <w:szCs w:val="48"/>
        </w:rPr>
        <w:tab/>
      </w:r>
      <w:r w:rsidR="00910A7F">
        <w:rPr>
          <w:color w:val="95441D" w:themeColor="text2" w:themeTint="BF"/>
          <w:sz w:val="48"/>
          <w:szCs w:val="48"/>
        </w:rPr>
        <w:tab/>
      </w:r>
      <w:r>
        <w:rPr>
          <w:color w:val="95441D" w:themeColor="text2" w:themeTint="BF"/>
          <w:sz w:val="48"/>
          <w:szCs w:val="48"/>
        </w:rPr>
        <w:tab/>
      </w:r>
      <w:r>
        <w:rPr>
          <w:color w:val="95441D" w:themeColor="text2" w:themeTint="BF"/>
          <w:sz w:val="48"/>
          <w:szCs w:val="48"/>
        </w:rPr>
        <w:tab/>
      </w:r>
      <w:r w:rsidR="00910A7F">
        <w:rPr>
          <w:color w:val="95441D" w:themeColor="text2" w:themeTint="BF"/>
          <w:sz w:val="48"/>
          <w:szCs w:val="48"/>
        </w:rPr>
        <w:tab/>
      </w:r>
      <w:r w:rsidR="00401523">
        <w:rPr>
          <w:color w:val="95441D" w:themeColor="text2" w:themeTint="BF"/>
          <w:sz w:val="22"/>
          <w:szCs w:val="22"/>
        </w:rPr>
        <w:t>www.incentivefederation.org</w:t>
      </w:r>
      <w:r w:rsidR="00910A7F">
        <w:rPr>
          <w:color w:val="95441D" w:themeColor="text2" w:themeTint="BF"/>
          <w:sz w:val="48"/>
          <w:szCs w:val="48"/>
        </w:rPr>
        <w:tab/>
      </w:r>
      <w:r w:rsidR="00910A7F">
        <w:rPr>
          <w:color w:val="95441D" w:themeColor="text2" w:themeTint="BF"/>
          <w:sz w:val="48"/>
          <w:szCs w:val="48"/>
        </w:rPr>
        <w:tab/>
      </w:r>
    </w:p>
    <w:p w:rsidR="00A82319" w:rsidRPr="003177A2" w:rsidRDefault="005127F9">
      <w:pPr>
        <w:pStyle w:val="Subtitle"/>
        <w:rPr>
          <w:color w:val="002060"/>
          <w:sz w:val="28"/>
          <w:szCs w:val="28"/>
        </w:rPr>
      </w:pPr>
      <w:r w:rsidRPr="003177A2">
        <w:rPr>
          <w:color w:val="002060"/>
          <w:sz w:val="28"/>
          <w:szCs w:val="28"/>
        </w:rPr>
        <w:t>January 2017</w:t>
      </w:r>
      <w:r w:rsidR="00910A7F">
        <w:rPr>
          <w:color w:val="002060"/>
          <w:sz w:val="28"/>
          <w:szCs w:val="28"/>
        </w:rPr>
        <w:tab/>
      </w:r>
      <w:r w:rsidR="00910A7F">
        <w:rPr>
          <w:color w:val="002060"/>
          <w:sz w:val="28"/>
          <w:szCs w:val="28"/>
        </w:rPr>
        <w:tab/>
      </w:r>
      <w:r w:rsidR="00910A7F">
        <w:rPr>
          <w:color w:val="002060"/>
          <w:sz w:val="28"/>
          <w:szCs w:val="28"/>
        </w:rPr>
        <w:tab/>
      </w:r>
      <w:r w:rsidR="00910A7F">
        <w:rPr>
          <w:color w:val="002060"/>
          <w:sz w:val="28"/>
          <w:szCs w:val="28"/>
        </w:rPr>
        <w:tab/>
      </w:r>
      <w:r w:rsidR="00910A7F">
        <w:rPr>
          <w:color w:val="002060"/>
          <w:sz w:val="28"/>
          <w:szCs w:val="28"/>
        </w:rPr>
        <w:tab/>
      </w:r>
      <w:r w:rsidR="00910A7F">
        <w:rPr>
          <w:color w:val="002060"/>
          <w:sz w:val="28"/>
          <w:szCs w:val="28"/>
        </w:rPr>
        <w:tab/>
      </w:r>
      <w:r w:rsidR="00910A7F">
        <w:rPr>
          <w:color w:val="002060"/>
          <w:sz w:val="28"/>
          <w:szCs w:val="28"/>
        </w:rPr>
        <w:tab/>
      </w:r>
    </w:p>
    <w:p w:rsidR="00A82319" w:rsidRPr="00F6629D" w:rsidRDefault="00FE1C30" w:rsidP="00A209F2">
      <w:pPr>
        <w:pStyle w:val="Heading1"/>
        <w:ind w:left="3600"/>
      </w:pPr>
      <w:r w:rsidRPr="00F6629D">
        <w:rPr>
          <w:noProof/>
          <w:sz w:val="28"/>
          <w:szCs w:val="28"/>
          <w:lang w:eastAsia="en-US"/>
        </w:rPr>
        <mc:AlternateContent>
          <mc:Choice Requires="wps">
            <w:drawing>
              <wp:anchor distT="182880" distB="182880" distL="274320" distR="274320" simplePos="0" relativeHeight="251659264" behindDoc="0" locked="0" layoutInCell="1" allowOverlap="0" wp14:anchorId="53D07261" wp14:editId="7EC0C9ED">
                <wp:simplePos x="0" y="0"/>
                <wp:positionH relativeFrom="margin">
                  <wp:posOffset>-9525</wp:posOffset>
                </wp:positionH>
                <wp:positionV relativeFrom="paragraph">
                  <wp:posOffset>50800</wp:posOffset>
                </wp:positionV>
                <wp:extent cx="2268855" cy="66103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8F671F" w:rsidRDefault="008F671F" w:rsidP="008F671F">
                                  <w:pPr>
                                    <w:spacing w:before="100" w:beforeAutospacing="1" w:after="100" w:afterAutospacing="1" w:line="240" w:lineRule="auto"/>
                                    <w:outlineLvl w:val="1"/>
                                    <w:rPr>
                                      <w:rFonts w:asciiTheme="majorHAnsi" w:eastAsia="Times New Roman" w:hAnsiTheme="majorHAnsi" w:cstheme="majorHAnsi"/>
                                      <w:b/>
                                      <w:bCs/>
                                      <w:color w:val="auto"/>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line="240" w:lineRule="auto"/>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trPr>
                                <w:trHeight w:hRule="exact" w:val="3312"/>
                              </w:trPr>
                              <w:tc>
                                <w:tcPr>
                                  <w:tcW w:w="3518" w:type="dxa"/>
                                </w:tcPr>
                                <w:p w:rsidR="008F671F" w:rsidRPr="008F671F" w:rsidRDefault="008F671F" w:rsidP="008F671F">
                                  <w:pPr>
                                    <w:spacing w:before="100" w:beforeAutospacing="1" w:after="100" w:afterAutospacing="1" w:line="240" w:lineRule="auto"/>
                                    <w:outlineLvl w:val="0"/>
                                    <w:rPr>
                                      <w:rFonts w:asciiTheme="majorHAnsi" w:eastAsia="Times New Roman" w:hAnsiTheme="majorHAnsi" w:cstheme="majorHAnsi"/>
                                      <w:b/>
                                      <w:bCs/>
                                      <w:color w:val="002060"/>
                                      <w:kern w:val="36"/>
                                      <w:sz w:val="28"/>
                                      <w:szCs w:val="28"/>
                                      <w:lang w:eastAsia="en-US"/>
                                      <w14:ligatures w14:val="none"/>
                                    </w:rPr>
                                  </w:pPr>
                                  <w:r w:rsidRPr="008F671F">
                                    <w:rPr>
                                      <w:rFonts w:asciiTheme="majorHAnsi" w:eastAsia="Times New Roman" w:hAnsiTheme="majorHAnsi" w:cstheme="majorHAnsi"/>
                                      <w:b/>
                                      <w:bCs/>
                                      <w:color w:val="002060"/>
                                      <w:kern w:val="36"/>
                                      <w:sz w:val="28"/>
                                      <w:szCs w:val="28"/>
                                      <w:lang w:eastAsia="en-US"/>
                                      <w14:ligatures w14:val="none"/>
                                    </w:rPr>
                                    <w:t>IFI Mission Statement</w:t>
                                  </w:r>
                                </w:p>
                                <w:p w:rsidR="008F671F" w:rsidRPr="008F671F" w:rsidRDefault="008F671F" w:rsidP="008F671F">
                                  <w:pPr>
                                    <w:spacing w:before="100" w:beforeAutospacing="1" w:after="100" w:afterAutospacing="1" w:line="240" w:lineRule="auto"/>
                                    <w:outlineLvl w:val="2"/>
                                    <w:rPr>
                                      <w:rFonts w:asciiTheme="majorHAnsi" w:eastAsia="Times New Roman" w:hAnsiTheme="majorHAnsi" w:cstheme="majorHAnsi"/>
                                      <w:b/>
                                      <w:bCs/>
                                      <w:color w:val="002060"/>
                                      <w:kern w:val="0"/>
                                      <w:sz w:val="28"/>
                                      <w:szCs w:val="28"/>
                                      <w:lang w:eastAsia="en-US"/>
                                      <w14:ligatures w14:val="none"/>
                                    </w:rPr>
                                  </w:pPr>
                                  <w:r w:rsidRPr="008F671F">
                                    <w:rPr>
                                      <w:rFonts w:asciiTheme="majorHAnsi" w:eastAsia="Times New Roman" w:hAnsiTheme="majorHAnsi" w:cstheme="majorHAnsi"/>
                                      <w:b/>
                                      <w:bCs/>
                                      <w:color w:val="002060"/>
                                      <w:kern w:val="0"/>
                                      <w:sz w:val="28"/>
                                      <w:szCs w:val="28"/>
                                      <w:lang w:eastAsia="en-US"/>
                                      <w14:ligatures w14:val="none"/>
                                    </w:rPr>
                                    <w:t>The Incentive Federation is dedicated to promote, protect and research the incentive field, encompassing recognition, promotional products and related</w:t>
                                  </w:r>
                                  <w:r w:rsidRPr="008F671F">
                                    <w:rPr>
                                      <w:rFonts w:ascii="Times New Roman" w:eastAsia="Times New Roman" w:hAnsi="Times New Roman" w:cs="Times New Roman"/>
                                      <w:b/>
                                      <w:bCs/>
                                      <w:color w:val="002060"/>
                                      <w:kern w:val="0"/>
                                      <w:sz w:val="28"/>
                                      <w:szCs w:val="28"/>
                                      <w:lang w:eastAsia="en-US"/>
                                      <w14:ligatures w14:val="none"/>
                                    </w:rPr>
                                    <w:t xml:space="preserve"> </w:t>
                                  </w:r>
                                  <w:r w:rsidRPr="008F671F">
                                    <w:rPr>
                                      <w:rFonts w:asciiTheme="majorHAnsi" w:eastAsia="Times New Roman" w:hAnsiTheme="majorHAnsi" w:cstheme="majorHAnsi"/>
                                      <w:b/>
                                      <w:bCs/>
                                      <w:color w:val="002060"/>
                                      <w:kern w:val="0"/>
                                      <w:sz w:val="28"/>
                                      <w:szCs w:val="28"/>
                                      <w:lang w:eastAsia="en-US"/>
                                      <w14:ligatures w14:val="none"/>
                                    </w:rPr>
                                    <w:t>promotions</w:t>
                                  </w:r>
                                  <w:r w:rsidR="00A209F2" w:rsidRPr="00A209F2">
                                    <w:rPr>
                                      <w:rFonts w:asciiTheme="majorHAnsi" w:eastAsia="Times New Roman" w:hAnsiTheme="majorHAnsi" w:cstheme="majorHAnsi"/>
                                      <w:b/>
                                      <w:bCs/>
                                      <w:color w:val="002060"/>
                                      <w:kern w:val="0"/>
                                      <w:sz w:val="28"/>
                                      <w:szCs w:val="28"/>
                                      <w:lang w:eastAsia="en-US"/>
                                      <w14:ligatures w14:val="none"/>
                                    </w:rPr>
                                    <w:t>.</w:t>
                                  </w:r>
                                </w:p>
                                <w:p w:rsidR="00A82319" w:rsidRPr="00A209F2" w:rsidRDefault="00A82319"/>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07261" id="_x0000_t202" coordsize="21600,21600" o:spt="202" path="m,l,21600r21600,l21600,xe">
                <v:stroke joinstyle="miter"/>
                <v:path gradientshapeok="t" o:connecttype="rect"/>
              </v:shapetype>
              <v:shape id="Text Box 1" o:spid="_x0000_s1026" type="#_x0000_t202" alt="Text box sidebar" style="position:absolute;left:0;text-align:left;margin-left:-.75pt;margin-top:4pt;width:178.65pt;height:52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8F671F" w:rsidRDefault="008F671F" w:rsidP="008F671F">
                            <w:pPr>
                              <w:spacing w:before="100" w:beforeAutospacing="1" w:after="100" w:afterAutospacing="1" w:line="240" w:lineRule="auto"/>
                              <w:outlineLvl w:val="1"/>
                              <w:rPr>
                                <w:rFonts w:asciiTheme="majorHAnsi" w:eastAsia="Times New Roman" w:hAnsiTheme="majorHAnsi" w:cstheme="majorHAnsi"/>
                                <w:b/>
                                <w:bCs/>
                                <w:color w:val="auto"/>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line="240" w:lineRule="auto"/>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trPr>
                          <w:trHeight w:hRule="exact" w:val="3312"/>
                        </w:trPr>
                        <w:tc>
                          <w:tcPr>
                            <w:tcW w:w="3518" w:type="dxa"/>
                          </w:tcPr>
                          <w:p w:rsidR="008F671F" w:rsidRPr="008F671F" w:rsidRDefault="008F671F" w:rsidP="008F671F">
                            <w:pPr>
                              <w:spacing w:before="100" w:beforeAutospacing="1" w:after="100" w:afterAutospacing="1" w:line="240" w:lineRule="auto"/>
                              <w:outlineLvl w:val="0"/>
                              <w:rPr>
                                <w:rFonts w:asciiTheme="majorHAnsi" w:eastAsia="Times New Roman" w:hAnsiTheme="majorHAnsi" w:cstheme="majorHAnsi"/>
                                <w:b/>
                                <w:bCs/>
                                <w:color w:val="002060"/>
                                <w:kern w:val="36"/>
                                <w:sz w:val="28"/>
                                <w:szCs w:val="28"/>
                                <w:lang w:eastAsia="en-US"/>
                                <w14:ligatures w14:val="none"/>
                              </w:rPr>
                            </w:pPr>
                            <w:r w:rsidRPr="008F671F">
                              <w:rPr>
                                <w:rFonts w:asciiTheme="majorHAnsi" w:eastAsia="Times New Roman" w:hAnsiTheme="majorHAnsi" w:cstheme="majorHAnsi"/>
                                <w:b/>
                                <w:bCs/>
                                <w:color w:val="002060"/>
                                <w:kern w:val="36"/>
                                <w:sz w:val="28"/>
                                <w:szCs w:val="28"/>
                                <w:lang w:eastAsia="en-US"/>
                                <w14:ligatures w14:val="none"/>
                              </w:rPr>
                              <w:t>IFI Mission Statement</w:t>
                            </w:r>
                          </w:p>
                          <w:p w:rsidR="008F671F" w:rsidRPr="008F671F" w:rsidRDefault="008F671F" w:rsidP="008F671F">
                            <w:pPr>
                              <w:spacing w:before="100" w:beforeAutospacing="1" w:after="100" w:afterAutospacing="1" w:line="240" w:lineRule="auto"/>
                              <w:outlineLvl w:val="2"/>
                              <w:rPr>
                                <w:rFonts w:asciiTheme="majorHAnsi" w:eastAsia="Times New Roman" w:hAnsiTheme="majorHAnsi" w:cstheme="majorHAnsi"/>
                                <w:b/>
                                <w:bCs/>
                                <w:color w:val="002060"/>
                                <w:kern w:val="0"/>
                                <w:sz w:val="28"/>
                                <w:szCs w:val="28"/>
                                <w:lang w:eastAsia="en-US"/>
                                <w14:ligatures w14:val="none"/>
                              </w:rPr>
                            </w:pPr>
                            <w:r w:rsidRPr="008F671F">
                              <w:rPr>
                                <w:rFonts w:asciiTheme="majorHAnsi" w:eastAsia="Times New Roman" w:hAnsiTheme="majorHAnsi" w:cstheme="majorHAnsi"/>
                                <w:b/>
                                <w:bCs/>
                                <w:color w:val="002060"/>
                                <w:kern w:val="0"/>
                                <w:sz w:val="28"/>
                                <w:szCs w:val="28"/>
                                <w:lang w:eastAsia="en-US"/>
                                <w14:ligatures w14:val="none"/>
                              </w:rPr>
                              <w:t>The Incentive Federation is dedicated to promote, protect and research the incentive field, encompassing recognition, promotional products and related</w:t>
                            </w:r>
                            <w:r w:rsidRPr="008F671F">
                              <w:rPr>
                                <w:rFonts w:ascii="Times New Roman" w:eastAsia="Times New Roman" w:hAnsi="Times New Roman" w:cs="Times New Roman"/>
                                <w:b/>
                                <w:bCs/>
                                <w:color w:val="002060"/>
                                <w:kern w:val="0"/>
                                <w:sz w:val="28"/>
                                <w:szCs w:val="28"/>
                                <w:lang w:eastAsia="en-US"/>
                                <w14:ligatures w14:val="none"/>
                              </w:rPr>
                              <w:t xml:space="preserve"> </w:t>
                            </w:r>
                            <w:r w:rsidRPr="008F671F">
                              <w:rPr>
                                <w:rFonts w:asciiTheme="majorHAnsi" w:eastAsia="Times New Roman" w:hAnsiTheme="majorHAnsi" w:cstheme="majorHAnsi"/>
                                <w:b/>
                                <w:bCs/>
                                <w:color w:val="002060"/>
                                <w:kern w:val="0"/>
                                <w:sz w:val="28"/>
                                <w:szCs w:val="28"/>
                                <w:lang w:eastAsia="en-US"/>
                                <w14:ligatures w14:val="none"/>
                              </w:rPr>
                              <w:t>promotions</w:t>
                            </w:r>
                            <w:r w:rsidR="00A209F2" w:rsidRPr="00A209F2">
                              <w:rPr>
                                <w:rFonts w:asciiTheme="majorHAnsi" w:eastAsia="Times New Roman" w:hAnsiTheme="majorHAnsi" w:cstheme="majorHAnsi"/>
                                <w:b/>
                                <w:bCs/>
                                <w:color w:val="002060"/>
                                <w:kern w:val="0"/>
                                <w:sz w:val="28"/>
                                <w:szCs w:val="28"/>
                                <w:lang w:eastAsia="en-US"/>
                                <w14:ligatures w14:val="none"/>
                              </w:rPr>
                              <w:t>.</w:t>
                            </w:r>
                          </w:p>
                          <w:p w:rsidR="00A82319" w:rsidRPr="00A209F2" w:rsidRDefault="00A82319"/>
                        </w:tc>
                      </w:tr>
                    </w:tbl>
                    <w:p w:rsidR="00A82319" w:rsidRDefault="00A82319">
                      <w:pPr>
                        <w:pStyle w:val="Caption"/>
                      </w:pPr>
                    </w:p>
                  </w:txbxContent>
                </v:textbox>
                <w10:wrap type="square" anchorx="margin"/>
              </v:shape>
            </w:pict>
          </mc:Fallback>
        </mc:AlternateContent>
      </w:r>
      <w:r w:rsidR="005127F9" w:rsidRPr="00F6629D">
        <w:t>2017 Plans and Agenda</w:t>
      </w:r>
    </w:p>
    <w:p w:rsidR="00A82319" w:rsidRDefault="003177A2">
      <w:pPr>
        <w:rPr>
          <w:rFonts w:asciiTheme="majorHAnsi" w:hAnsiTheme="majorHAnsi" w:cstheme="majorHAnsi"/>
          <w:color w:val="000000" w:themeColor="text1"/>
        </w:rPr>
      </w:pPr>
      <w:r w:rsidRPr="003177A2">
        <w:rPr>
          <w:rFonts w:asciiTheme="majorHAnsi" w:hAnsiTheme="majorHAnsi" w:cstheme="majorHAnsi"/>
          <w:color w:val="000000" w:themeColor="text1"/>
        </w:rPr>
        <w:t xml:space="preserve">The IFI Board of Directors voted in 2016 to slightly scale back the Federation’s plans for 2017, choosing to focus on </w:t>
      </w:r>
      <w:r w:rsidR="008B254D">
        <w:rPr>
          <w:rFonts w:asciiTheme="majorHAnsi" w:hAnsiTheme="majorHAnsi" w:cstheme="majorHAnsi"/>
          <w:color w:val="000000" w:themeColor="text1"/>
        </w:rPr>
        <w:t>influencing</w:t>
      </w:r>
      <w:r>
        <w:rPr>
          <w:rFonts w:asciiTheme="majorHAnsi" w:hAnsiTheme="majorHAnsi" w:cstheme="majorHAnsi"/>
          <w:color w:val="000000" w:themeColor="text1"/>
        </w:rPr>
        <w:t xml:space="preserve"> </w:t>
      </w:r>
      <w:r w:rsidR="00F6629D">
        <w:rPr>
          <w:rFonts w:asciiTheme="majorHAnsi" w:hAnsiTheme="majorHAnsi" w:cstheme="majorHAnsi"/>
          <w:color w:val="000000" w:themeColor="text1"/>
        </w:rPr>
        <w:t>decisions about</w:t>
      </w:r>
      <w:r w:rsidRPr="003177A2">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specific provisions </w:t>
      </w:r>
      <w:r w:rsidRPr="003177A2">
        <w:rPr>
          <w:rFonts w:asciiTheme="majorHAnsi" w:hAnsiTheme="majorHAnsi" w:cstheme="majorHAnsi"/>
          <w:color w:val="000000" w:themeColor="text1"/>
        </w:rPr>
        <w:t xml:space="preserve">of the U.S. tax code that might favor the incentive industry. </w:t>
      </w:r>
      <w:r>
        <w:rPr>
          <w:rFonts w:asciiTheme="majorHAnsi" w:hAnsiTheme="majorHAnsi" w:cstheme="majorHAnsi"/>
          <w:color w:val="000000" w:themeColor="text1"/>
        </w:rPr>
        <w:t>Given the new administration’s declared interest in reforming and simplifying both business and individual tax regulations, the Board believes the best use of its resources is to monitor tax reform efforts in 2017.</w:t>
      </w:r>
    </w:p>
    <w:p w:rsidR="00F6629D" w:rsidRPr="00F6629D" w:rsidRDefault="00F6629D">
      <w:pPr>
        <w:rPr>
          <w:rFonts w:asciiTheme="majorHAnsi" w:hAnsiTheme="majorHAnsi" w:cstheme="majorHAnsi"/>
          <w:color w:val="95441D" w:themeColor="text2" w:themeTint="BF"/>
          <w:sz w:val="22"/>
          <w:szCs w:val="22"/>
        </w:rPr>
      </w:pPr>
      <w:r w:rsidRPr="00F6629D">
        <w:rPr>
          <w:rFonts w:asciiTheme="majorHAnsi" w:hAnsiTheme="majorHAnsi" w:cstheme="majorHAnsi"/>
          <w:color w:val="95441D" w:themeColor="text2" w:themeTint="BF"/>
          <w:sz w:val="22"/>
          <w:szCs w:val="22"/>
        </w:rPr>
        <w:t xml:space="preserve">Tax Treatment of </w:t>
      </w:r>
      <w:r>
        <w:rPr>
          <w:rFonts w:asciiTheme="majorHAnsi" w:hAnsiTheme="majorHAnsi" w:cstheme="majorHAnsi"/>
          <w:color w:val="95441D" w:themeColor="text2" w:themeTint="BF"/>
          <w:sz w:val="22"/>
          <w:szCs w:val="22"/>
        </w:rPr>
        <w:t>E</w:t>
      </w:r>
      <w:r w:rsidRPr="00F6629D">
        <w:rPr>
          <w:rFonts w:asciiTheme="majorHAnsi" w:hAnsiTheme="majorHAnsi" w:cstheme="majorHAnsi"/>
          <w:color w:val="95441D" w:themeColor="text2" w:themeTint="BF"/>
          <w:sz w:val="22"/>
          <w:szCs w:val="22"/>
        </w:rPr>
        <w:t>mployee Awards</w:t>
      </w:r>
    </w:p>
    <w:p w:rsidR="00B430C3" w:rsidRDefault="00B430C3">
      <w:pPr>
        <w:rPr>
          <w:rFonts w:asciiTheme="majorHAnsi" w:hAnsiTheme="majorHAnsi" w:cstheme="majorHAnsi"/>
          <w:color w:val="000000" w:themeColor="text1"/>
        </w:rPr>
      </w:pPr>
      <w:r>
        <w:rPr>
          <w:rFonts w:asciiTheme="majorHAnsi" w:hAnsiTheme="majorHAnsi" w:cstheme="majorHAnsi"/>
          <w:color w:val="000000" w:themeColor="text1"/>
        </w:rPr>
        <w:t>In past years the Federation has focused on</w:t>
      </w:r>
      <w:r w:rsidR="00F6629D">
        <w:rPr>
          <w:rFonts w:asciiTheme="majorHAnsi" w:hAnsiTheme="majorHAnsi" w:cstheme="majorHAnsi"/>
          <w:color w:val="000000" w:themeColor="text1"/>
        </w:rPr>
        <w:t xml:space="preserve"> maintaining and expanding</w:t>
      </w:r>
      <w:r>
        <w:rPr>
          <w:rFonts w:asciiTheme="majorHAnsi" w:hAnsiTheme="majorHAnsi" w:cstheme="majorHAnsi"/>
          <w:color w:val="000000" w:themeColor="text1"/>
        </w:rPr>
        <w:t xml:space="preserve"> </w:t>
      </w:r>
      <w:r w:rsidR="00F6629D">
        <w:rPr>
          <w:rFonts w:asciiTheme="majorHAnsi" w:hAnsiTheme="majorHAnsi" w:cstheme="majorHAnsi"/>
          <w:color w:val="000000" w:themeColor="text1"/>
        </w:rPr>
        <w:t>favorable tax treatment of employee achievement, service and safety awards under provision 274(j) of the Internal Revenue Tax code.</w:t>
      </w:r>
    </w:p>
    <w:p w:rsidR="003177A2" w:rsidRPr="00F6629D" w:rsidRDefault="00A209F2">
      <w:pPr>
        <w:rPr>
          <w:rFonts w:asciiTheme="majorHAnsi" w:hAnsiTheme="majorHAnsi" w:cstheme="majorHAnsi"/>
          <w:color w:val="auto"/>
          <w:lang w:val="en"/>
        </w:rPr>
      </w:pPr>
      <w:r w:rsidRPr="00F6629D">
        <w:rPr>
          <w:rFonts w:asciiTheme="majorHAnsi" w:hAnsiTheme="majorHAnsi" w:cstheme="majorHAnsi"/>
          <w:color w:val="auto"/>
          <w:lang w:val="en"/>
        </w:rPr>
        <w:t>Specifically, 274(j) allows employers to recognize and reward their employees under certain specific conditions without those employees' having to pay taxes on the value of those awards. It also allows the employers to deduct the value of the awards given out, up to a specified percentage.</w:t>
      </w:r>
    </w:p>
    <w:p w:rsidR="00A209F2" w:rsidRDefault="00A209F2">
      <w:pPr>
        <w:rPr>
          <w:rFonts w:asciiTheme="majorHAnsi" w:hAnsiTheme="majorHAnsi" w:cstheme="majorHAnsi"/>
          <w:color w:val="auto"/>
          <w:lang w:val="en"/>
        </w:rPr>
      </w:pPr>
      <w:r w:rsidRPr="00F6629D">
        <w:rPr>
          <w:rFonts w:asciiTheme="majorHAnsi" w:hAnsiTheme="majorHAnsi" w:cstheme="majorHAnsi"/>
          <w:color w:val="auto"/>
          <w:lang w:val="en"/>
        </w:rPr>
        <w:t>The specific situations under which 274(j) can be deployed are for service award programs (where companies award a gift to their employees for every five years on the job) and, in a more limited scenario, to companies that deploy safety incentive programs that reward their employees for specific achievements in the area of safety.</w:t>
      </w:r>
    </w:p>
    <w:p w:rsidR="00A620D1" w:rsidRDefault="00A620D1">
      <w:pPr>
        <w:rPr>
          <w:rFonts w:asciiTheme="majorHAnsi" w:hAnsiTheme="majorHAnsi" w:cstheme="majorHAnsi"/>
          <w:color w:val="auto"/>
          <w:lang w:val="en"/>
        </w:rPr>
      </w:pPr>
      <w:r>
        <w:rPr>
          <w:rFonts w:asciiTheme="majorHAnsi" w:hAnsiTheme="majorHAnsi" w:cstheme="majorHAnsi"/>
          <w:color w:val="auto"/>
          <w:lang w:val="en"/>
        </w:rPr>
        <w:t>The Federation will maintain vigilant monitoring of any legislative or regulatory attempts to alter the current tax provisions under 274(j) and look for opportunities to gain even more favorable treatment for these valuable types of employee awards.</w:t>
      </w:r>
    </w:p>
    <w:p w:rsidR="00A82319" w:rsidRDefault="00F6629D" w:rsidP="00F6629D">
      <w:pPr>
        <w:rPr>
          <w:rFonts w:asciiTheme="majorHAnsi" w:hAnsiTheme="majorHAnsi" w:cstheme="majorHAnsi"/>
          <w:color w:val="auto"/>
          <w:lang w:val="en"/>
        </w:rPr>
      </w:pPr>
      <w:r w:rsidRPr="00F6629D">
        <w:rPr>
          <w:rFonts w:asciiTheme="majorHAnsi" w:hAnsiTheme="majorHAnsi" w:cstheme="majorHAnsi"/>
          <w:color w:val="95441D" w:themeColor="text2" w:themeTint="BF"/>
          <w:sz w:val="22"/>
          <w:szCs w:val="22"/>
          <w:lang w:val="en"/>
        </w:rPr>
        <w:t>OSHA’s Criticism of Safety Incentive Programs</w:t>
      </w:r>
    </w:p>
    <w:p w:rsidR="00F6629D" w:rsidRPr="00F6629D" w:rsidRDefault="00F6629D" w:rsidP="00F6629D">
      <w:pPr>
        <w:rPr>
          <w:rFonts w:asciiTheme="majorHAnsi" w:hAnsiTheme="majorHAnsi" w:cstheme="majorHAnsi"/>
          <w:color w:val="auto"/>
        </w:rPr>
      </w:pPr>
      <w:r>
        <w:rPr>
          <w:rFonts w:asciiTheme="majorHAnsi" w:hAnsiTheme="majorHAnsi" w:cstheme="majorHAnsi"/>
          <w:color w:val="auto"/>
          <w:lang w:val="en"/>
        </w:rPr>
        <w:t xml:space="preserve">The Federation in 2016 again filed formal </w:t>
      </w:r>
      <w:r w:rsidR="00A620D1">
        <w:rPr>
          <w:rFonts w:asciiTheme="majorHAnsi" w:hAnsiTheme="majorHAnsi" w:cstheme="majorHAnsi"/>
          <w:color w:val="auto"/>
          <w:lang w:val="en"/>
        </w:rPr>
        <w:t xml:space="preserve">comments opposing certain positions </w:t>
      </w:r>
      <w:r w:rsidR="00AC0ABB">
        <w:rPr>
          <w:rFonts w:asciiTheme="majorHAnsi" w:hAnsiTheme="majorHAnsi" w:cstheme="majorHAnsi"/>
          <w:color w:val="auto"/>
          <w:lang w:val="en"/>
        </w:rPr>
        <w:t xml:space="preserve">and skepticism </w:t>
      </w:r>
      <w:r w:rsidR="00A620D1">
        <w:rPr>
          <w:rFonts w:asciiTheme="majorHAnsi" w:hAnsiTheme="majorHAnsi" w:cstheme="majorHAnsi"/>
          <w:color w:val="auto"/>
          <w:lang w:val="en"/>
        </w:rPr>
        <w:t xml:space="preserve">the Occupational Safety and Health Administration has </w:t>
      </w:r>
      <w:r w:rsidR="00AC0ABB">
        <w:rPr>
          <w:rFonts w:asciiTheme="majorHAnsi" w:hAnsiTheme="majorHAnsi" w:cstheme="majorHAnsi"/>
          <w:color w:val="auto"/>
          <w:lang w:val="en"/>
        </w:rPr>
        <w:t>expressed</w:t>
      </w:r>
      <w:r w:rsidR="00A620D1">
        <w:rPr>
          <w:rFonts w:asciiTheme="majorHAnsi" w:hAnsiTheme="majorHAnsi" w:cstheme="majorHAnsi"/>
          <w:color w:val="auto"/>
          <w:lang w:val="en"/>
        </w:rPr>
        <w:t xml:space="preserve"> in criticizing safety incentive programs. </w:t>
      </w:r>
      <w:r w:rsidR="00AC0ABB">
        <w:rPr>
          <w:rFonts w:asciiTheme="majorHAnsi" w:hAnsiTheme="majorHAnsi" w:cstheme="majorHAnsi"/>
          <w:color w:val="auto"/>
          <w:lang w:val="en"/>
        </w:rPr>
        <w:t xml:space="preserve">The Federation will continue to monitor OSHA’s guidelines and represent the industry’s position that incentives do work to help foster a productive and safe workplace. </w:t>
      </w:r>
    </w:p>
    <w:p w:rsidR="00A82319" w:rsidRDefault="00A82319"/>
    <w:p w:rsidR="00AC0ABB" w:rsidRPr="00212FBB" w:rsidRDefault="00AC0ABB">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lastRenderedPageBreak/>
        <w:t>2017 Board of Directors</w:t>
      </w:r>
    </w:p>
    <w:p w:rsidR="00AC0ABB" w:rsidRDefault="00AC0ABB">
      <w:pPr>
        <w:rPr>
          <w:rFonts w:asciiTheme="majorHAnsi" w:hAnsiTheme="majorHAnsi" w:cstheme="majorHAnsi"/>
          <w:color w:val="auto"/>
        </w:rPr>
      </w:pPr>
      <w:r w:rsidRPr="00AC0ABB">
        <w:rPr>
          <w:rFonts w:asciiTheme="majorHAnsi" w:hAnsiTheme="majorHAnsi" w:cstheme="majorHAnsi"/>
          <w:color w:val="auto"/>
        </w:rPr>
        <w:t xml:space="preserve">The 2017 Board of Directors </w:t>
      </w:r>
      <w:r>
        <w:rPr>
          <w:rFonts w:asciiTheme="majorHAnsi" w:hAnsiTheme="majorHAnsi" w:cstheme="majorHAnsi"/>
          <w:color w:val="auto"/>
        </w:rPr>
        <w:t xml:space="preserve">was selected in late November with the following </w:t>
      </w:r>
      <w:r w:rsidR="000238A2">
        <w:rPr>
          <w:rFonts w:asciiTheme="majorHAnsi" w:hAnsiTheme="majorHAnsi" w:cstheme="majorHAnsi"/>
          <w:color w:val="auto"/>
        </w:rPr>
        <w:t xml:space="preserve">industry </w:t>
      </w:r>
      <w:r>
        <w:rPr>
          <w:rFonts w:asciiTheme="majorHAnsi" w:hAnsiTheme="majorHAnsi" w:cstheme="majorHAnsi"/>
          <w:color w:val="auto"/>
        </w:rPr>
        <w:t xml:space="preserve">professionals serving as officers and directors for the coming year. </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President, Promotional Products Association International</w:t>
      </w:r>
    </w:p>
    <w:p w:rsidR="00684A01" w:rsidRDefault="00684A01" w:rsidP="00684A01">
      <w:pPr>
        <w:spacing w:after="0"/>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Executive Director, Incentive Marketing Association</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 xml:space="preserve">Vice President, Business Development, </w:t>
      </w:r>
      <w:r w:rsidRPr="00684A01">
        <w:rPr>
          <w:rFonts w:asciiTheme="majorHAnsi" w:hAnsiTheme="majorHAnsi" w:cstheme="majorHAnsi"/>
        </w:rPr>
        <w:t>O.C. Tanner</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2C6786">
        <w:rPr>
          <w:rFonts w:asciiTheme="majorHAnsi" w:hAnsiTheme="majorHAnsi" w:cstheme="majorHAnsi"/>
        </w:rPr>
        <w:t xml:space="preserve">Manager, </w:t>
      </w:r>
      <w:r w:rsidRPr="00684A01">
        <w:rPr>
          <w:rFonts w:asciiTheme="majorHAnsi" w:hAnsiTheme="majorHAnsi" w:cstheme="majorHAnsi"/>
        </w:rPr>
        <w:t>CanonUSA</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2C6786">
        <w:rPr>
          <w:rFonts w:asciiTheme="majorHAnsi" w:hAnsiTheme="majorHAnsi" w:cstheme="majorHAnsi"/>
        </w:rPr>
        <w:t xml:space="preserve">Employee Solutions Leader, </w:t>
      </w:r>
      <w:r w:rsidRPr="00684A01">
        <w:rPr>
          <w:rFonts w:asciiTheme="majorHAnsi" w:hAnsiTheme="majorHAnsi" w:cstheme="majorHAnsi"/>
        </w:rPr>
        <w:t>Maritz Motivation Solutions</w:t>
      </w:r>
    </w:p>
    <w:p w:rsidR="00684A01" w:rsidRDefault="00684A01" w:rsidP="00401523">
      <w:pPr>
        <w:spacing w:after="0"/>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Pr="00684A01" w:rsidRDefault="00FE1C30" w:rsidP="00401523">
      <w:pPr>
        <w:spacing w:after="0"/>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0D1396" w:rsidRDefault="00401523" w:rsidP="00401523">
      <w:pPr>
        <w:tabs>
          <w:tab w:val="left" w:pos="1740"/>
        </w:tabs>
        <w:spacing w:after="0"/>
      </w:pPr>
      <w:r>
        <w:tab/>
      </w:r>
    </w:p>
    <w:p w:rsidR="000D1396" w:rsidRPr="00910A7F" w:rsidRDefault="000D1396" w:rsidP="00684A01">
      <w:pPr>
        <w:rPr>
          <w:rFonts w:asciiTheme="majorHAnsi" w:hAnsiTheme="majorHAnsi" w:cstheme="majorHAnsi"/>
        </w:rPr>
      </w:pPr>
      <w:r w:rsidRPr="00910A7F">
        <w:rPr>
          <w:rFonts w:asciiTheme="majorHAnsi" w:hAnsiTheme="majorHAnsi" w:cstheme="majorHAnsi"/>
        </w:rPr>
        <w:t xml:space="preserve">The Board will conduct quarterly conference calls to share updates and timely information from each of the Federation’s association and foundation members. We’ll be sharing pertinent information with the IFI members following each of those calls. </w:t>
      </w:r>
    </w:p>
    <w:p w:rsidR="000D1396" w:rsidRPr="00910A7F" w:rsidRDefault="000D1396" w:rsidP="00684A01">
      <w:pPr>
        <w:rPr>
          <w:rFonts w:asciiTheme="majorHAnsi" w:hAnsiTheme="majorHAnsi" w:cstheme="majorHAnsi"/>
        </w:rPr>
      </w:pPr>
      <w:r w:rsidRPr="00910A7F">
        <w:rPr>
          <w:rFonts w:asciiTheme="majorHAnsi" w:hAnsiTheme="majorHAnsi" w:cstheme="majorHAnsi"/>
        </w:rPr>
        <w:t>George, Delta, IFI’s longtime legal coun</w:t>
      </w:r>
      <w:r w:rsidR="00BC6B81" w:rsidRPr="00910A7F">
        <w:rPr>
          <w:rFonts w:asciiTheme="majorHAnsi" w:hAnsiTheme="majorHAnsi" w:cstheme="majorHAnsi"/>
        </w:rPr>
        <w:t>sel</w:t>
      </w:r>
      <w:r w:rsidRPr="00910A7F">
        <w:rPr>
          <w:rFonts w:asciiTheme="majorHAnsi" w:hAnsiTheme="majorHAnsi" w:cstheme="majorHAnsi"/>
        </w:rPr>
        <w:t xml:space="preserve">, will also be publishing a bi-monthly legal and legislative update </w:t>
      </w:r>
      <w:r w:rsidR="00BC6B81" w:rsidRPr="00910A7F">
        <w:rPr>
          <w:rFonts w:asciiTheme="majorHAnsi" w:hAnsiTheme="majorHAnsi" w:cstheme="majorHAnsi"/>
        </w:rPr>
        <w:t xml:space="preserve">to be posted on the IFI website as we track and monitor tax reform and other regulatory issues that might threaten the incentive industry. </w:t>
      </w:r>
    </w:p>
    <w:p w:rsidR="000D1396" w:rsidRPr="00212FBB" w:rsidRDefault="000D1396" w:rsidP="00684A01">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Incentive Industry Research</w:t>
      </w:r>
    </w:p>
    <w:p w:rsidR="000D1396" w:rsidRDefault="000D1396" w:rsidP="00684A01">
      <w:pPr>
        <w:rPr>
          <w:rFonts w:asciiTheme="majorHAnsi" w:hAnsiTheme="majorHAnsi" w:cstheme="majorHAnsi"/>
          <w:color w:val="auto"/>
        </w:rPr>
      </w:pPr>
      <w:r>
        <w:rPr>
          <w:rFonts w:asciiTheme="majorHAnsi" w:hAnsiTheme="majorHAnsi" w:cstheme="majorHAnsi"/>
          <w:color w:val="auto"/>
        </w:rPr>
        <w:t xml:space="preserve">With the Federation’s focus on opportunities for tax reform with the new Congress and administration, the Federation will not conduct a research project in 2017. However, the 2016 research study has plenty of implications to explore and it is accessible on the Federation’s website at </w:t>
      </w:r>
      <w:hyperlink r:id="rId8" w:history="1">
        <w:r w:rsidRPr="006E0323">
          <w:rPr>
            <w:rStyle w:val="Hyperlink"/>
            <w:rFonts w:asciiTheme="majorHAnsi" w:hAnsiTheme="majorHAnsi" w:cstheme="majorHAnsi"/>
          </w:rPr>
          <w:t>www.incentivefederation.org</w:t>
        </w:r>
      </w:hyperlink>
      <w:r>
        <w:rPr>
          <w:rFonts w:asciiTheme="majorHAnsi" w:hAnsiTheme="majorHAnsi" w:cstheme="majorHAnsi"/>
          <w:color w:val="auto"/>
        </w:rPr>
        <w:t xml:space="preserve">. </w:t>
      </w:r>
    </w:p>
    <w:p w:rsidR="000D1396" w:rsidRPr="000D1396" w:rsidRDefault="000D1396" w:rsidP="000D1396">
      <w:pPr>
        <w:pStyle w:val="NormalWeb"/>
        <w:rPr>
          <w:rFonts w:asciiTheme="majorHAnsi" w:hAnsiTheme="majorHAnsi" w:cstheme="majorHAnsi"/>
          <w:sz w:val="20"/>
          <w:szCs w:val="20"/>
        </w:rPr>
      </w:pPr>
      <w:r w:rsidRPr="000D1396">
        <w:rPr>
          <w:rFonts w:asciiTheme="majorHAnsi" w:hAnsiTheme="majorHAnsi" w:cstheme="majorHAnsi"/>
          <w:sz w:val="20"/>
          <w:szCs w:val="20"/>
        </w:rPr>
        <w:t>Conducted in partnership with market research firm Intellective Group of St. Louis, the study measures the expenditures of businesses for non-cash rewards for employees, customers and partners. The results update studies from previous years and provide details about expenditures spent on gift cards, rewards points, travel, and merchandise by corporate America. New this year, the study also focuses on the number of program owners using award points.</w:t>
      </w:r>
    </w:p>
    <w:p w:rsidR="000D1396" w:rsidRPr="000D1396" w:rsidRDefault="000D1396" w:rsidP="000D1396">
      <w:pPr>
        <w:pStyle w:val="NormalWeb"/>
        <w:rPr>
          <w:rFonts w:asciiTheme="majorHAnsi" w:hAnsiTheme="majorHAnsi" w:cstheme="majorHAnsi"/>
          <w:sz w:val="20"/>
          <w:szCs w:val="20"/>
        </w:rPr>
      </w:pPr>
      <w:r w:rsidRPr="000D1396">
        <w:rPr>
          <w:rFonts w:asciiTheme="majorHAnsi" w:hAnsiTheme="majorHAnsi" w:cstheme="majorHAnsi"/>
          <w:sz w:val="20"/>
          <w:szCs w:val="20"/>
        </w:rPr>
        <w:t>The study of a cross-section of U</w:t>
      </w:r>
      <w:r>
        <w:rPr>
          <w:rFonts w:asciiTheme="majorHAnsi" w:hAnsiTheme="majorHAnsi" w:cstheme="majorHAnsi"/>
          <w:sz w:val="20"/>
          <w:szCs w:val="20"/>
        </w:rPr>
        <w:t>.</w:t>
      </w:r>
      <w:r w:rsidRPr="000D1396">
        <w:rPr>
          <w:rFonts w:asciiTheme="majorHAnsi" w:hAnsiTheme="majorHAnsi" w:cstheme="majorHAnsi"/>
          <w:sz w:val="20"/>
          <w:szCs w:val="20"/>
        </w:rPr>
        <w:t>S</w:t>
      </w:r>
      <w:r>
        <w:rPr>
          <w:rFonts w:asciiTheme="majorHAnsi" w:hAnsiTheme="majorHAnsi" w:cstheme="majorHAnsi"/>
          <w:sz w:val="20"/>
          <w:szCs w:val="20"/>
        </w:rPr>
        <w:t>.</w:t>
      </w:r>
      <w:r w:rsidRPr="000D1396">
        <w:rPr>
          <w:rFonts w:asciiTheme="majorHAnsi" w:hAnsiTheme="majorHAnsi" w:cstheme="majorHAnsi"/>
          <w:sz w:val="20"/>
          <w:szCs w:val="20"/>
        </w:rPr>
        <w:t xml:space="preserve"> businesses confirms that award points, gift cards, incentive travel, and merchandise are commonly-used tools for firms seeking to reward and recognize their employees, sales teams, channel partners, and customers. Key findings from the study include:</w:t>
      </w:r>
      <w:r w:rsidRPr="000D1396">
        <w:rPr>
          <w:rFonts w:asciiTheme="majorHAnsi" w:hAnsiTheme="majorHAnsi" w:cstheme="majorHAnsi"/>
          <w:sz w:val="20"/>
          <w:szCs w:val="20"/>
        </w:rPr>
        <w:br/>
        <w:t>• 84% of U.S. businesses use non-cash rewards to recognize and reward key audiences in the form of award points, gift cards, incentive travel, and merchandise – up from 74% in 2013</w:t>
      </w:r>
      <w:r w:rsidRPr="000D1396">
        <w:rPr>
          <w:rFonts w:asciiTheme="majorHAnsi" w:hAnsiTheme="majorHAnsi" w:cstheme="majorHAnsi"/>
          <w:sz w:val="20"/>
          <w:szCs w:val="20"/>
        </w:rPr>
        <w:br/>
      </w:r>
      <w:bookmarkStart w:id="0" w:name="_GoBack"/>
      <w:r w:rsidRPr="000D1396">
        <w:rPr>
          <w:rFonts w:asciiTheme="majorHAnsi" w:hAnsiTheme="majorHAnsi" w:cstheme="majorHAnsi"/>
          <w:sz w:val="20"/>
          <w:szCs w:val="20"/>
        </w:rPr>
        <w:t>• In 2015, U.S. businesses spent $90 billion on these types of non-cash rewards, a 17% increase from $77 billion in 2013</w:t>
      </w:r>
    </w:p>
    <w:bookmarkEnd w:id="0"/>
    <w:p w:rsidR="000D1396" w:rsidRPr="000D1396" w:rsidRDefault="000D1396" w:rsidP="00684A01">
      <w:pPr>
        <w:rPr>
          <w:rFonts w:asciiTheme="majorHAnsi" w:hAnsiTheme="majorHAnsi" w:cstheme="majorHAnsi"/>
          <w:color w:val="auto"/>
        </w:rPr>
      </w:pPr>
      <w:r>
        <w:rPr>
          <w:rFonts w:asciiTheme="majorHAnsi" w:hAnsiTheme="majorHAnsi" w:cstheme="majorHAnsi"/>
          <w:color w:val="auto"/>
        </w:rPr>
        <w:t xml:space="preserve">Additional industry research will be conducted in 2017 by the Incentive Research Foundation, an IFI member organization, and its research can be accessed at </w:t>
      </w:r>
      <w:hyperlink r:id="rId9" w:history="1">
        <w:r w:rsidRPr="006E0323">
          <w:rPr>
            <w:rStyle w:val="Hyperlink"/>
            <w:rFonts w:asciiTheme="majorHAnsi" w:hAnsiTheme="majorHAnsi" w:cstheme="majorHAnsi"/>
          </w:rPr>
          <w:t>www.theirf.org</w:t>
        </w:r>
      </w:hyperlink>
      <w:r>
        <w:rPr>
          <w:rFonts w:asciiTheme="majorHAnsi" w:hAnsiTheme="majorHAnsi" w:cstheme="majorHAnsi"/>
          <w:color w:val="auto"/>
        </w:rPr>
        <w:t xml:space="preserve">. </w:t>
      </w:r>
    </w:p>
    <w:p w:rsidR="000238A2" w:rsidRPr="00212FBB" w:rsidRDefault="00910A7F" w:rsidP="00684A01">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82319" w:rsidRDefault="00910A7F" w:rsidP="00BC6B81">
      <w:pPr>
        <w:rPr>
          <w:rFonts w:asciiTheme="majorHAnsi" w:hAnsiTheme="majorHAnsi" w:cstheme="majorHAnsi"/>
          <w:color w:val="auto"/>
        </w:rPr>
      </w:pPr>
      <w:r>
        <w:rPr>
          <w:rFonts w:asciiTheme="majorHAnsi" w:hAnsiTheme="majorHAnsi" w:cstheme="majorHAnsi"/>
          <w:color w:val="auto"/>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FE1C30" w:rsidRPr="00910A7F" w:rsidRDefault="00D605DC" w:rsidP="00BC6B81">
      <w:pPr>
        <w:rPr>
          <w:rFonts w:asciiTheme="majorHAnsi" w:hAnsiTheme="majorHAnsi" w:cstheme="majorHAnsi"/>
          <w:color w:val="auto"/>
        </w:rPr>
      </w:pPr>
      <w:r>
        <w:rPr>
          <w:rFonts w:asciiTheme="majorHAnsi" w:hAnsiTheme="majorHAnsi" w:cstheme="majorHAnsi"/>
          <w:color w:val="auto"/>
        </w:rPr>
        <w:t xml:space="preserve">Contact: Steve Slagle, </w:t>
      </w:r>
      <w:r w:rsidR="007462B7">
        <w:rPr>
          <w:rFonts w:asciiTheme="majorHAnsi" w:hAnsiTheme="majorHAnsi" w:cstheme="majorHAnsi"/>
          <w:color w:val="auto"/>
        </w:rPr>
        <w:t xml:space="preserve">IFI </w:t>
      </w:r>
      <w:r>
        <w:rPr>
          <w:rFonts w:asciiTheme="majorHAnsi" w:hAnsiTheme="majorHAnsi" w:cstheme="majorHAnsi"/>
          <w:color w:val="auto"/>
        </w:rPr>
        <w:t>Managing Director</w:t>
      </w:r>
      <w:r w:rsidR="007462B7">
        <w:rPr>
          <w:rFonts w:asciiTheme="majorHAnsi" w:hAnsiTheme="majorHAnsi" w:cstheme="majorHAnsi"/>
          <w:color w:val="auto"/>
        </w:rPr>
        <w:t>,</w:t>
      </w:r>
      <w:r>
        <w:rPr>
          <w:rFonts w:asciiTheme="majorHAnsi" w:hAnsiTheme="majorHAnsi" w:cstheme="majorHAnsi"/>
          <w:color w:val="auto"/>
        </w:rPr>
        <w:t xml:space="preserve"> at </w:t>
      </w:r>
      <w:hyperlink r:id="rId10" w:history="1">
        <w:r w:rsidR="007462B7" w:rsidRPr="006E0323">
          <w:rPr>
            <w:rStyle w:val="Hyperlink"/>
            <w:rFonts w:asciiTheme="majorHAnsi" w:hAnsiTheme="majorHAnsi" w:cstheme="majorHAnsi"/>
          </w:rPr>
          <w:t>steves3309@gmail.com</w:t>
        </w:r>
      </w:hyperlink>
      <w:r w:rsidR="007462B7">
        <w:rPr>
          <w:rFonts w:asciiTheme="majorHAnsi" w:hAnsiTheme="majorHAnsi" w:cstheme="majorHAnsi"/>
          <w:color w:val="auto"/>
        </w:rPr>
        <w:t xml:space="preserve"> or 864-710-6739.</w:t>
      </w:r>
    </w:p>
    <w:sectPr w:rsidR="00FE1C30"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12" w:rsidRDefault="00A66A12">
      <w:pPr>
        <w:spacing w:after="0" w:line="240" w:lineRule="auto"/>
      </w:pPr>
      <w:r>
        <w:separator/>
      </w:r>
    </w:p>
  </w:endnote>
  <w:endnote w:type="continuationSeparator" w:id="0">
    <w:p w:rsidR="00A66A12" w:rsidRDefault="00A6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12" w:rsidRDefault="00A66A12">
      <w:pPr>
        <w:spacing w:after="0" w:line="240" w:lineRule="auto"/>
      </w:pPr>
      <w:r>
        <w:separator/>
      </w:r>
    </w:p>
  </w:footnote>
  <w:footnote w:type="continuationSeparator" w:id="0">
    <w:p w:rsidR="00A66A12" w:rsidRDefault="00A66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238A2"/>
    <w:rsid w:val="000511E6"/>
    <w:rsid w:val="0008445B"/>
    <w:rsid w:val="000D1396"/>
    <w:rsid w:val="00212FBB"/>
    <w:rsid w:val="002B1396"/>
    <w:rsid w:val="002C6786"/>
    <w:rsid w:val="003177A2"/>
    <w:rsid w:val="00387A00"/>
    <w:rsid w:val="00401523"/>
    <w:rsid w:val="005127F9"/>
    <w:rsid w:val="00684A01"/>
    <w:rsid w:val="007462B7"/>
    <w:rsid w:val="008956E6"/>
    <w:rsid w:val="008B254D"/>
    <w:rsid w:val="008F671F"/>
    <w:rsid w:val="00910A7F"/>
    <w:rsid w:val="00A209F2"/>
    <w:rsid w:val="00A620D1"/>
    <w:rsid w:val="00A66A12"/>
    <w:rsid w:val="00A80826"/>
    <w:rsid w:val="00A82319"/>
    <w:rsid w:val="00AC0ABB"/>
    <w:rsid w:val="00B430C3"/>
    <w:rsid w:val="00BB6673"/>
    <w:rsid w:val="00BC6B81"/>
    <w:rsid w:val="00C50E0D"/>
    <w:rsid w:val="00D458DD"/>
    <w:rsid w:val="00D605DC"/>
    <w:rsid w:val="00F03248"/>
    <w:rsid w:val="00F1573F"/>
    <w:rsid w:val="00F6629D"/>
    <w:rsid w:val="00FE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entivefeder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ves3309@gmail.com" TargetMode="External"/><Relationship Id="rId4" Type="http://schemas.openxmlformats.org/officeDocument/2006/relationships/webSettings" Target="webSettings.xml"/><Relationship Id="rId9" Type="http://schemas.openxmlformats.org/officeDocument/2006/relationships/hyperlink" Target="http://www.their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2</cp:revision>
  <cp:lastPrinted>2017-01-06T18:59:00Z</cp:lastPrinted>
  <dcterms:created xsi:type="dcterms:W3CDTF">2017-01-06T19:01:00Z</dcterms:created>
  <dcterms:modified xsi:type="dcterms:W3CDTF">2017-01-06T19:01:00Z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