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319" w:rsidRDefault="005127F9">
      <w:pPr>
        <w:pStyle w:val="Title"/>
      </w:pPr>
      <w:r>
        <w:rPr>
          <w:noProof/>
          <w:lang w:eastAsia="en-US"/>
        </w:rPr>
        <w:drawing>
          <wp:inline distT="0" distB="0" distL="0" distR="0" wp14:anchorId="077618D5" wp14:editId="58A3519C">
            <wp:extent cx="2971800" cy="487180"/>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centive Federation logo.png"/>
                    <pic:cNvPicPr/>
                  </pic:nvPicPr>
                  <pic:blipFill>
                    <a:blip r:embed="rId8">
                      <a:extLst>
                        <a:ext uri="{28A0092B-C50C-407E-A947-70E740481C1C}">
                          <a14:useLocalDpi xmlns:a14="http://schemas.microsoft.com/office/drawing/2010/main" val="0"/>
                        </a:ext>
                      </a:extLst>
                    </a:blip>
                    <a:stretch>
                      <a:fillRect/>
                    </a:stretch>
                  </pic:blipFill>
                  <pic:spPr>
                    <a:xfrm>
                      <a:off x="0" y="0"/>
                      <a:ext cx="3034757" cy="497501"/>
                    </a:xfrm>
                    <a:prstGeom prst="rect">
                      <a:avLst/>
                    </a:prstGeom>
                  </pic:spPr>
                </pic:pic>
              </a:graphicData>
            </a:graphic>
          </wp:inline>
        </w:drawing>
      </w:r>
    </w:p>
    <w:p w:rsidR="00F31A61" w:rsidRDefault="00C50E0D" w:rsidP="00F31A61">
      <w:pPr>
        <w:pStyle w:val="Title"/>
        <w:jc w:val="both"/>
        <w:rPr>
          <w:color w:val="003192"/>
          <w:sz w:val="28"/>
          <w:szCs w:val="28"/>
        </w:rPr>
      </w:pPr>
      <w:r>
        <w:rPr>
          <w:color w:val="95441D" w:themeColor="text2" w:themeTint="BF"/>
        </w:rPr>
        <w:t>Bulletin</w:t>
      </w:r>
      <w:r w:rsidR="00910A7F">
        <w:rPr>
          <w:color w:val="95441D" w:themeColor="text2" w:themeTint="BF"/>
        </w:rPr>
        <w:tab/>
      </w:r>
      <w:r w:rsidR="00910A7F">
        <w:rPr>
          <w:color w:val="95441D" w:themeColor="text2" w:themeTint="BF"/>
        </w:rPr>
        <w:tab/>
      </w:r>
      <w:r w:rsidR="00910A7F">
        <w:rPr>
          <w:color w:val="95441D" w:themeColor="text2" w:themeTint="BF"/>
        </w:rPr>
        <w:tab/>
      </w:r>
      <w:r>
        <w:rPr>
          <w:color w:val="95441D" w:themeColor="text2" w:themeTint="BF"/>
        </w:rPr>
        <w:tab/>
      </w:r>
      <w:r>
        <w:rPr>
          <w:color w:val="95441D" w:themeColor="text2" w:themeTint="BF"/>
        </w:rPr>
        <w:tab/>
      </w:r>
      <w:r w:rsidR="00910A7F">
        <w:rPr>
          <w:color w:val="95441D" w:themeColor="text2" w:themeTint="BF"/>
        </w:rPr>
        <w:tab/>
      </w:r>
      <w:r w:rsidR="00F31A61">
        <w:rPr>
          <w:color w:val="95441D" w:themeColor="text2" w:themeTint="BF"/>
        </w:rPr>
        <w:tab/>
      </w:r>
      <w:r w:rsidR="00F31A61">
        <w:rPr>
          <w:color w:val="95441D" w:themeColor="text2" w:themeTint="BF"/>
        </w:rPr>
        <w:tab/>
      </w:r>
      <w:r w:rsidR="00401523">
        <w:rPr>
          <w:color w:val="95441D" w:themeColor="text2" w:themeTint="BF"/>
          <w:sz w:val="22"/>
          <w:szCs w:val="22"/>
        </w:rPr>
        <w:t>www.incentivefederation.org</w:t>
      </w:r>
      <w:r w:rsidR="00F31A61">
        <w:rPr>
          <w:color w:val="95441D" w:themeColor="text2" w:themeTint="BF"/>
        </w:rPr>
        <w:tab/>
      </w:r>
      <w:r w:rsidR="00910A7F" w:rsidRPr="00AA3BD0">
        <w:rPr>
          <w:color w:val="003192"/>
          <w:sz w:val="28"/>
          <w:szCs w:val="28"/>
        </w:rPr>
        <w:tab/>
      </w:r>
    </w:p>
    <w:p w:rsidR="00F31A61" w:rsidRDefault="00F31A61" w:rsidP="00F31A61">
      <w:pPr>
        <w:pStyle w:val="Title"/>
        <w:jc w:val="both"/>
        <w:rPr>
          <w:color w:val="003192"/>
          <w:sz w:val="28"/>
          <w:szCs w:val="28"/>
        </w:rPr>
      </w:pPr>
    </w:p>
    <w:p w:rsidR="00A82319" w:rsidRPr="00F31A61" w:rsidRDefault="00260D0C" w:rsidP="00F31A61">
      <w:pPr>
        <w:pStyle w:val="Title"/>
        <w:jc w:val="both"/>
        <w:rPr>
          <w:color w:val="95441D" w:themeColor="text2" w:themeTint="BF"/>
        </w:rPr>
      </w:pPr>
      <w:r>
        <w:rPr>
          <w:color w:val="003192"/>
          <w:sz w:val="28"/>
          <w:szCs w:val="28"/>
        </w:rPr>
        <w:t>June</w:t>
      </w:r>
      <w:r w:rsidR="00F31A61">
        <w:rPr>
          <w:color w:val="003192"/>
          <w:sz w:val="28"/>
          <w:szCs w:val="28"/>
        </w:rPr>
        <w:t xml:space="preserve"> 2017</w:t>
      </w:r>
      <w:r w:rsidR="00910A7F" w:rsidRPr="00AA3BD0">
        <w:rPr>
          <w:color w:val="003192"/>
          <w:sz w:val="28"/>
          <w:szCs w:val="28"/>
        </w:rPr>
        <w:tab/>
      </w:r>
      <w:r w:rsidR="00910A7F" w:rsidRPr="00AA3BD0">
        <w:rPr>
          <w:color w:val="003192"/>
          <w:sz w:val="28"/>
          <w:szCs w:val="28"/>
        </w:rPr>
        <w:tab/>
      </w:r>
      <w:r w:rsidR="00910A7F" w:rsidRPr="00AA3BD0">
        <w:rPr>
          <w:color w:val="003192"/>
          <w:sz w:val="28"/>
          <w:szCs w:val="28"/>
        </w:rPr>
        <w:tab/>
      </w:r>
    </w:p>
    <w:p w:rsidR="00D6208A" w:rsidRDefault="00D6208A" w:rsidP="00D6208A">
      <w:pPr>
        <w:pStyle w:val="Heading1"/>
        <w:rPr>
          <w:rFonts w:cstheme="majorHAnsi"/>
          <w:b w:val="0"/>
          <w:color w:val="95441D" w:themeColor="text2" w:themeTint="BF"/>
          <w:szCs w:val="24"/>
          <w:lang w:val="en"/>
        </w:rPr>
      </w:pPr>
    </w:p>
    <w:p w:rsidR="00426B51" w:rsidRPr="00D929AA" w:rsidRDefault="00F31A61" w:rsidP="001E04BB">
      <w:pPr>
        <w:shd w:val="clear" w:color="auto" w:fill="FFFFFF"/>
        <w:spacing w:after="240"/>
        <w:jc w:val="left"/>
        <w:rPr>
          <w:rFonts w:asciiTheme="majorHAnsi" w:hAnsiTheme="majorHAnsi" w:cstheme="majorHAnsi"/>
          <w:b/>
          <w:color w:val="95441D" w:themeColor="text2" w:themeTint="BF"/>
        </w:rPr>
      </w:pPr>
      <w:r w:rsidRPr="00D929AA">
        <w:rPr>
          <w:rFonts w:asciiTheme="majorHAnsi" w:hAnsiTheme="majorHAnsi" w:cstheme="majorHAnsi"/>
          <w:b/>
          <w:noProof/>
          <w:color w:val="923118" w:themeColor="accent2" w:themeShade="BF"/>
          <w:lang w:eastAsia="en-US"/>
        </w:rPr>
        <mc:AlternateContent>
          <mc:Choice Requires="wps">
            <w:drawing>
              <wp:anchor distT="182880" distB="182880" distL="274320" distR="274320" simplePos="0" relativeHeight="251659264" behindDoc="0" locked="0" layoutInCell="1" allowOverlap="0" wp14:anchorId="13FC1FD8" wp14:editId="4A5E565E">
                <wp:simplePos x="0" y="0"/>
                <wp:positionH relativeFrom="margin">
                  <wp:posOffset>95250</wp:posOffset>
                </wp:positionH>
                <wp:positionV relativeFrom="paragraph">
                  <wp:posOffset>8255</wp:posOffset>
                </wp:positionV>
                <wp:extent cx="2268855" cy="6610350"/>
                <wp:effectExtent l="38100" t="38100" r="93345" b="95250"/>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2268855" cy="6610350"/>
                        </a:xfrm>
                        <a:prstGeom prst="rect">
                          <a:avLst/>
                        </a:prstGeom>
                        <a:ln>
                          <a:noFill/>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trPr>
                                <w:trHeight w:hRule="exact" w:val="6048"/>
                              </w:trPr>
                              <w:tc>
                                <w:tcPr>
                                  <w:tcW w:w="3518" w:type="dxa"/>
                                  <w:shd w:val="clear" w:color="auto" w:fill="AF4E12" w:themeFill="accent1" w:themeFillShade="BF"/>
                                  <w:tcMar>
                                    <w:top w:w="288" w:type="dxa"/>
                                    <w:bottom w:w="288" w:type="dxa"/>
                                  </w:tcMar>
                                </w:tcPr>
                                <w:p w:rsidR="008F671F" w:rsidRPr="00AA3BD0" w:rsidRDefault="008F671F" w:rsidP="00F31A61">
                                  <w:pPr>
                                    <w:spacing w:before="100" w:beforeAutospacing="1" w:after="100" w:afterAutospacing="1"/>
                                    <w:jc w:val="left"/>
                                    <w:outlineLvl w:val="1"/>
                                    <w:rPr>
                                      <w:rFonts w:asciiTheme="majorHAnsi" w:eastAsia="Times New Roman" w:hAnsiTheme="majorHAnsi" w:cstheme="majorHAnsi"/>
                                      <w:b/>
                                      <w:bCs/>
                                      <w:color w:val="DB7544" w:themeColor="text2" w:themeTint="80"/>
                                      <w:sz w:val="28"/>
                                      <w:szCs w:val="28"/>
                                      <w:lang w:eastAsia="en-US"/>
                                    </w:rPr>
                                  </w:pPr>
                                  <w:r w:rsidRPr="008F671F">
                                    <w:rPr>
                                      <w:rFonts w:asciiTheme="majorHAnsi" w:eastAsia="Times New Roman" w:hAnsiTheme="majorHAnsi" w:cstheme="majorHAnsi"/>
                                      <w:b/>
                                      <w:bCs/>
                                      <w:sz w:val="28"/>
                                      <w:szCs w:val="28"/>
                                      <w:lang w:eastAsia="en-US"/>
                                    </w:rPr>
                                    <w:t>Who does the Incentive Federation represent?</w:t>
                                  </w:r>
                                </w:p>
                                <w:p w:rsidR="008F671F" w:rsidRPr="008F671F" w:rsidRDefault="008F671F" w:rsidP="00F31A61">
                                  <w:pPr>
                                    <w:spacing w:before="100" w:beforeAutospacing="1" w:after="100" w:afterAutospacing="1"/>
                                    <w:jc w:val="left"/>
                                    <w:rPr>
                                      <w:rFonts w:asciiTheme="majorHAnsi" w:eastAsia="Times New Roman" w:hAnsiTheme="majorHAnsi" w:cstheme="majorHAnsi"/>
                                      <w:sz w:val="24"/>
                                      <w:szCs w:val="24"/>
                                      <w:lang w:eastAsia="en-US"/>
                                    </w:rPr>
                                  </w:pPr>
                                  <w:r w:rsidRPr="008F671F">
                                    <w:rPr>
                                      <w:rFonts w:asciiTheme="majorHAnsi" w:eastAsia="Times New Roman" w:hAnsiTheme="majorHAnsi" w:cstheme="majorHAnsi"/>
                                      <w:sz w:val="24"/>
                                      <w:szCs w:val="24"/>
                                      <w:lang w:eastAsia="en-US"/>
                                    </w:rPr>
                                    <w:t>The Incentive Federation is the only organization whose membership and leadership includes all of the industry’s national trade associations, as well as individual companies. It is under The Incentive Federation umbrella that the collective interests of the Incentive Marketing Association (IMA), the Promotional Products Association International (PPAI), The Incentive Research Foundation (IRF), and Society for Incentive Travel Excellence</w:t>
                                  </w:r>
                                  <w:r w:rsidR="00A209F2">
                                    <w:rPr>
                                      <w:rFonts w:asciiTheme="majorHAnsi" w:eastAsia="Times New Roman" w:hAnsiTheme="majorHAnsi" w:cstheme="majorHAnsi"/>
                                      <w:sz w:val="24"/>
                                      <w:szCs w:val="24"/>
                                      <w:lang w:eastAsia="en-US"/>
                                    </w:rPr>
                                    <w:t xml:space="preserve"> </w:t>
                                  </w:r>
                                  <w:r w:rsidRPr="008F671F">
                                    <w:rPr>
                                      <w:rFonts w:asciiTheme="majorHAnsi" w:eastAsia="Times New Roman" w:hAnsiTheme="majorHAnsi" w:cstheme="majorHAnsi"/>
                                      <w:sz w:val="24"/>
                                      <w:szCs w:val="24"/>
                                      <w:lang w:eastAsia="en-US"/>
                                    </w:rPr>
                                    <w:t>(SITE) are discussed, nurtured and advanced.</w:t>
                                  </w:r>
                                </w:p>
                                <w:p w:rsidR="00A82319" w:rsidRDefault="00A82319">
                                  <w:pPr>
                                    <w:pStyle w:val="BlockHeading"/>
                                  </w:pPr>
                                </w:p>
                                <w:p w:rsidR="00A82319" w:rsidRDefault="00A82319" w:rsidP="005127F9">
                                  <w:pPr>
                                    <w:pStyle w:val="BlockText"/>
                                  </w:pPr>
                                </w:p>
                              </w:tc>
                            </w:tr>
                            <w:tr w:rsidR="00A82319">
                              <w:trPr>
                                <w:trHeight w:hRule="exact" w:val="288"/>
                              </w:trPr>
                              <w:tc>
                                <w:tcPr>
                                  <w:tcW w:w="3518" w:type="dxa"/>
                                </w:tcPr>
                                <w:p w:rsidR="00A82319" w:rsidRPr="00A209F2" w:rsidRDefault="00A82319"/>
                              </w:tc>
                            </w:tr>
                            <w:tr w:rsidR="00A82319" w:rsidTr="00927680">
                              <w:trPr>
                                <w:trHeight w:hRule="exact" w:val="3177"/>
                              </w:trPr>
                              <w:tc>
                                <w:tcPr>
                                  <w:tcW w:w="3518" w:type="dxa"/>
                                </w:tcPr>
                                <w:p w:rsidR="008F671F" w:rsidRPr="008A4A80" w:rsidRDefault="008F671F" w:rsidP="00F31A61">
                                  <w:pPr>
                                    <w:spacing w:before="120" w:after="120"/>
                                    <w:jc w:val="left"/>
                                    <w:outlineLvl w:val="0"/>
                                    <w:rPr>
                                      <w:rFonts w:asciiTheme="majorHAnsi" w:eastAsia="Times New Roman" w:hAnsiTheme="majorHAnsi" w:cstheme="majorHAnsi"/>
                                      <w:b/>
                                      <w:bCs/>
                                      <w:color w:val="95441D" w:themeColor="text2" w:themeTint="BF"/>
                                      <w:kern w:val="36"/>
                                      <w:sz w:val="28"/>
                                      <w:szCs w:val="28"/>
                                      <w:lang w:eastAsia="en-US"/>
                                      <w14:shadow w14:blurRad="50800" w14:dist="38100" w14:dir="2700000" w14:sx="100000" w14:sy="100000" w14:kx="0" w14:ky="0" w14:algn="tl">
                                        <w14:srgbClr w14:val="000000">
                                          <w14:alpha w14:val="60000"/>
                                        </w14:srgbClr>
                                      </w14:shadow>
                                    </w:rPr>
                                  </w:pPr>
                                  <w:r w:rsidRPr="008A4A80">
                                    <w:rPr>
                                      <w:rFonts w:asciiTheme="majorHAnsi" w:eastAsia="Times New Roman" w:hAnsiTheme="majorHAnsi" w:cstheme="majorHAnsi"/>
                                      <w:b/>
                                      <w:bCs/>
                                      <w:color w:val="95441D" w:themeColor="text2" w:themeTint="BF"/>
                                      <w:kern w:val="36"/>
                                      <w:sz w:val="28"/>
                                      <w:szCs w:val="28"/>
                                      <w:lang w:eastAsia="en-US"/>
                                      <w14:shadow w14:blurRad="50800" w14:dist="38100" w14:dir="2700000" w14:sx="100000" w14:sy="100000" w14:kx="0" w14:ky="0" w14:algn="tl">
                                        <w14:srgbClr w14:val="000000">
                                          <w14:alpha w14:val="60000"/>
                                        </w14:srgbClr>
                                      </w14:shadow>
                                    </w:rPr>
                                    <w:t>IFI Mission Statement</w:t>
                                  </w:r>
                                </w:p>
                                <w:p w:rsidR="009C1CC2" w:rsidRDefault="008F671F"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r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The Incentive Federation is dedicated to promote, protect and research the incentive</w:t>
                                  </w:r>
                                  <w:r w:rsidR="00F31A61">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r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field, encompassing recognition, promotional products and related</w:t>
                                  </w:r>
                                  <w:r w:rsidR="009C1CC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p>
                                <w:p w:rsidR="009C1CC2"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p>
                                <w:p w:rsidR="009C1CC2"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p>
                                <w:p w:rsidR="009C1CC2" w:rsidRPr="009C1CC2"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r>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p>
                                <w:p w:rsidR="008F671F" w:rsidRPr="008A4A80"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r w:rsidR="008F671F"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promotions</w:t>
                                  </w:r>
                                  <w:r w:rsidR="00A209F2"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w:t>
                                  </w:r>
                                </w:p>
                                <w:p w:rsidR="00A82319" w:rsidRPr="00A209F2" w:rsidRDefault="00A82319" w:rsidP="00F31A61">
                                  <w:pPr>
                                    <w:spacing w:before="120" w:after="120"/>
                                    <w:jc w:val="left"/>
                                  </w:pPr>
                                </w:p>
                              </w:tc>
                            </w:tr>
                          </w:tbl>
                          <w:p w:rsidR="00A82319" w:rsidRPr="00BE0D3E" w:rsidRDefault="009C1CC2" w:rsidP="00F31A61">
                            <w:pPr>
                              <w:pStyle w:val="Caption"/>
                              <w:spacing w:after="120"/>
                              <w:jc w:val="left"/>
                              <w:rPr>
                                <w:rFonts w:asciiTheme="majorHAnsi" w:hAnsiTheme="majorHAnsi" w:cstheme="majorHAnsi"/>
                                <w:b w:val="0"/>
                                <w:i/>
                                <w:color w:val="95441D" w:themeColor="text2" w:themeTint="BF"/>
                                <w:sz w:val="28"/>
                                <w:szCs w:val="28"/>
                                <w14:shadow w14:blurRad="50800" w14:dist="38100" w14:dir="2700000" w14:sx="100000" w14:sy="100000" w14:kx="0" w14:ky="0" w14:algn="tl">
                                  <w14:srgbClr w14:val="000000">
                                    <w14:alpha w14:val="60000"/>
                                  </w14:srgbClr>
                                </w14:shadow>
                              </w:rPr>
                            </w:pPr>
                            <w:r w:rsidRPr="00BE0D3E">
                              <w:rPr>
                                <w:rFonts w:asciiTheme="majorHAnsi" w:hAnsiTheme="majorHAnsi" w:cstheme="majorHAnsi"/>
                                <w:color w:val="95441D" w:themeColor="text2" w:themeTint="BF"/>
                                <w:sz w:val="28"/>
                                <w:szCs w:val="28"/>
                                <w14:shadow w14:blurRad="50800" w14:dist="38100" w14:dir="2700000" w14:sx="100000" w14:sy="100000" w14:kx="0" w14:ky="0" w14:algn="tl">
                                  <w14:srgbClr w14:val="000000">
                                    <w14:alpha w14:val="60000"/>
                                  </w14:srgbClr>
                                </w14:shadow>
                              </w:rPr>
                              <w:t>promotions.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FC1FD8" id="_x0000_t202" coordsize="21600,21600" o:spt="202" path="m,l,21600r21600,l21600,xe">
                <v:stroke joinstyle="miter"/>
                <v:path gradientshapeok="t" o:connecttype="rect"/>
              </v:shapetype>
              <v:shape id="Text Box 1" o:spid="_x0000_s1026" type="#_x0000_t202" alt="Text box sidebar" style="position:absolute;margin-left:7.5pt;margin-top:.65pt;width:178.65pt;height:520.5pt;z-index:251659264;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" o:allowoverlap="f" fillcolor="white [3201]" stroked="f" strokeweight="1pt">
                <v:shadow on="t" color="black" opacity="26214f" origin="-.5,-.5" offset=".74836mm,.74836mm"/>
                <v:textbox inset="0,0,0,0">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trPr>
                          <w:trHeight w:hRule="exact" w:val="6048"/>
                        </w:trPr>
                        <w:tc>
                          <w:tcPr>
                            <w:tcW w:w="3518" w:type="dxa"/>
                            <w:shd w:val="clear" w:color="auto" w:fill="AF4E12" w:themeFill="accent1" w:themeFillShade="BF"/>
                            <w:tcMar>
                              <w:top w:w="288" w:type="dxa"/>
                              <w:bottom w:w="288" w:type="dxa"/>
                            </w:tcMar>
                          </w:tcPr>
                          <w:p w:rsidR="008F671F" w:rsidRPr="00AA3BD0" w:rsidRDefault="008F671F" w:rsidP="00F31A61">
                            <w:pPr>
                              <w:spacing w:before="100" w:beforeAutospacing="1" w:after="100" w:afterAutospacing="1"/>
                              <w:jc w:val="left"/>
                              <w:outlineLvl w:val="1"/>
                              <w:rPr>
                                <w:rFonts w:asciiTheme="majorHAnsi" w:eastAsia="Times New Roman" w:hAnsiTheme="majorHAnsi" w:cstheme="majorHAnsi"/>
                                <w:b/>
                                <w:bCs/>
                                <w:color w:val="DB7544" w:themeColor="text2" w:themeTint="80"/>
                                <w:sz w:val="28"/>
                                <w:szCs w:val="28"/>
                                <w:lang w:eastAsia="en-US"/>
                              </w:rPr>
                            </w:pPr>
                            <w:r w:rsidRPr="008F671F">
                              <w:rPr>
                                <w:rFonts w:asciiTheme="majorHAnsi" w:eastAsia="Times New Roman" w:hAnsiTheme="majorHAnsi" w:cstheme="majorHAnsi"/>
                                <w:b/>
                                <w:bCs/>
                                <w:sz w:val="28"/>
                                <w:szCs w:val="28"/>
                                <w:lang w:eastAsia="en-US"/>
                              </w:rPr>
                              <w:t>Who does the Incentive Federation represent?</w:t>
                            </w:r>
                          </w:p>
                          <w:p w:rsidR="008F671F" w:rsidRPr="008F671F" w:rsidRDefault="008F671F" w:rsidP="00F31A61">
                            <w:pPr>
                              <w:spacing w:before="100" w:beforeAutospacing="1" w:after="100" w:afterAutospacing="1"/>
                              <w:jc w:val="left"/>
                              <w:rPr>
                                <w:rFonts w:asciiTheme="majorHAnsi" w:eastAsia="Times New Roman" w:hAnsiTheme="majorHAnsi" w:cstheme="majorHAnsi"/>
                                <w:sz w:val="24"/>
                                <w:szCs w:val="24"/>
                                <w:lang w:eastAsia="en-US"/>
                              </w:rPr>
                            </w:pPr>
                            <w:r w:rsidRPr="008F671F">
                              <w:rPr>
                                <w:rFonts w:asciiTheme="majorHAnsi" w:eastAsia="Times New Roman" w:hAnsiTheme="majorHAnsi" w:cstheme="majorHAnsi"/>
                                <w:sz w:val="24"/>
                                <w:szCs w:val="24"/>
                                <w:lang w:eastAsia="en-US"/>
                              </w:rPr>
                              <w:t>The Incentive Federation is the only organization whose membership and leadership includes all of the industry’s national trade associations, as well as individual companies. It is under The Incentive Federation umbrella that the collective interests of the Incentive Marketing Association (IMA), the Promotional Products Association International (PPAI), The Incentive Research Foundation (IRF), and Society for Incentive Travel Excellence</w:t>
                            </w:r>
                            <w:r w:rsidR="00A209F2">
                              <w:rPr>
                                <w:rFonts w:asciiTheme="majorHAnsi" w:eastAsia="Times New Roman" w:hAnsiTheme="majorHAnsi" w:cstheme="majorHAnsi"/>
                                <w:sz w:val="24"/>
                                <w:szCs w:val="24"/>
                                <w:lang w:eastAsia="en-US"/>
                              </w:rPr>
                              <w:t xml:space="preserve"> </w:t>
                            </w:r>
                            <w:r w:rsidRPr="008F671F">
                              <w:rPr>
                                <w:rFonts w:asciiTheme="majorHAnsi" w:eastAsia="Times New Roman" w:hAnsiTheme="majorHAnsi" w:cstheme="majorHAnsi"/>
                                <w:sz w:val="24"/>
                                <w:szCs w:val="24"/>
                                <w:lang w:eastAsia="en-US"/>
                              </w:rPr>
                              <w:t>(SITE) are discussed, nurtured and advanced.</w:t>
                            </w:r>
                          </w:p>
                          <w:p w:rsidR="00A82319" w:rsidRDefault="00A82319">
                            <w:pPr>
                              <w:pStyle w:val="BlockHeading"/>
                            </w:pPr>
                          </w:p>
                          <w:p w:rsidR="00A82319" w:rsidRDefault="00A82319" w:rsidP="005127F9">
                            <w:pPr>
                              <w:pStyle w:val="BlockText"/>
                            </w:pPr>
                          </w:p>
                        </w:tc>
                      </w:tr>
                      <w:tr w:rsidR="00A82319">
                        <w:trPr>
                          <w:trHeight w:hRule="exact" w:val="288"/>
                        </w:trPr>
                        <w:tc>
                          <w:tcPr>
                            <w:tcW w:w="3518" w:type="dxa"/>
                          </w:tcPr>
                          <w:p w:rsidR="00A82319" w:rsidRPr="00A209F2" w:rsidRDefault="00A82319"/>
                        </w:tc>
                      </w:tr>
                      <w:tr w:rsidR="00A82319" w:rsidTr="00927680">
                        <w:trPr>
                          <w:trHeight w:hRule="exact" w:val="3177"/>
                        </w:trPr>
                        <w:tc>
                          <w:tcPr>
                            <w:tcW w:w="3518" w:type="dxa"/>
                          </w:tcPr>
                          <w:p w:rsidR="008F671F" w:rsidRPr="008A4A80" w:rsidRDefault="008F671F" w:rsidP="00F31A61">
                            <w:pPr>
                              <w:spacing w:before="120" w:after="120"/>
                              <w:jc w:val="left"/>
                              <w:outlineLvl w:val="0"/>
                              <w:rPr>
                                <w:rFonts w:asciiTheme="majorHAnsi" w:eastAsia="Times New Roman" w:hAnsiTheme="majorHAnsi" w:cstheme="majorHAnsi"/>
                                <w:b/>
                                <w:bCs/>
                                <w:color w:val="95441D" w:themeColor="text2" w:themeTint="BF"/>
                                <w:kern w:val="36"/>
                                <w:sz w:val="28"/>
                                <w:szCs w:val="28"/>
                                <w:lang w:eastAsia="en-US"/>
                                <w14:shadow w14:blurRad="50800" w14:dist="38100" w14:dir="2700000" w14:sx="100000" w14:sy="100000" w14:kx="0" w14:ky="0" w14:algn="tl">
                                  <w14:srgbClr w14:val="000000">
                                    <w14:alpha w14:val="60000"/>
                                  </w14:srgbClr>
                                </w14:shadow>
                              </w:rPr>
                            </w:pPr>
                            <w:r w:rsidRPr="008A4A80">
                              <w:rPr>
                                <w:rFonts w:asciiTheme="majorHAnsi" w:eastAsia="Times New Roman" w:hAnsiTheme="majorHAnsi" w:cstheme="majorHAnsi"/>
                                <w:b/>
                                <w:bCs/>
                                <w:color w:val="95441D" w:themeColor="text2" w:themeTint="BF"/>
                                <w:kern w:val="36"/>
                                <w:sz w:val="28"/>
                                <w:szCs w:val="28"/>
                                <w:lang w:eastAsia="en-US"/>
                                <w14:shadow w14:blurRad="50800" w14:dist="38100" w14:dir="2700000" w14:sx="100000" w14:sy="100000" w14:kx="0" w14:ky="0" w14:algn="tl">
                                  <w14:srgbClr w14:val="000000">
                                    <w14:alpha w14:val="60000"/>
                                  </w14:srgbClr>
                                </w14:shadow>
                              </w:rPr>
                              <w:t>IFI Mission Statement</w:t>
                            </w:r>
                          </w:p>
                          <w:p w:rsidR="009C1CC2" w:rsidRDefault="008F671F"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r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The Incentive Federation is dedicated to promote, protect and research the incentive</w:t>
                            </w:r>
                            <w:r w:rsidR="00F31A61">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r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field, encompassing recognition, promotional products and related</w:t>
                            </w:r>
                            <w:r w:rsidR="009C1CC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p>
                          <w:p w:rsidR="009C1CC2"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p>
                          <w:p w:rsidR="009C1CC2"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p>
                          <w:p w:rsidR="009C1CC2" w:rsidRPr="009C1CC2"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r>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p>
                          <w:p w:rsidR="008F671F" w:rsidRPr="008A4A80"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r w:rsidR="008F671F"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promotions</w:t>
                            </w:r>
                            <w:r w:rsidR="00A209F2"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w:t>
                            </w:r>
                          </w:p>
                          <w:p w:rsidR="00A82319" w:rsidRPr="00A209F2" w:rsidRDefault="00A82319" w:rsidP="00F31A61">
                            <w:pPr>
                              <w:spacing w:before="120" w:after="120"/>
                              <w:jc w:val="left"/>
                            </w:pPr>
                          </w:p>
                        </w:tc>
                      </w:tr>
                    </w:tbl>
                    <w:p w:rsidR="00A82319" w:rsidRPr="00BE0D3E" w:rsidRDefault="009C1CC2" w:rsidP="00F31A61">
                      <w:pPr>
                        <w:pStyle w:val="Caption"/>
                        <w:spacing w:after="120"/>
                        <w:jc w:val="left"/>
                        <w:rPr>
                          <w:rFonts w:asciiTheme="majorHAnsi" w:hAnsiTheme="majorHAnsi" w:cstheme="majorHAnsi"/>
                          <w:b w:val="0"/>
                          <w:i/>
                          <w:color w:val="95441D" w:themeColor="text2" w:themeTint="BF"/>
                          <w:sz w:val="28"/>
                          <w:szCs w:val="28"/>
                          <w14:shadow w14:blurRad="50800" w14:dist="38100" w14:dir="2700000" w14:sx="100000" w14:sy="100000" w14:kx="0" w14:ky="0" w14:algn="tl">
                            <w14:srgbClr w14:val="000000">
                              <w14:alpha w14:val="60000"/>
                            </w14:srgbClr>
                          </w14:shadow>
                        </w:rPr>
                      </w:pPr>
                      <w:r w:rsidRPr="00BE0D3E">
                        <w:rPr>
                          <w:rFonts w:asciiTheme="majorHAnsi" w:hAnsiTheme="majorHAnsi" w:cstheme="majorHAnsi"/>
                          <w:color w:val="95441D" w:themeColor="text2" w:themeTint="BF"/>
                          <w:sz w:val="28"/>
                          <w:szCs w:val="28"/>
                          <w14:shadow w14:blurRad="50800" w14:dist="38100" w14:dir="2700000" w14:sx="100000" w14:sy="100000" w14:kx="0" w14:ky="0" w14:algn="tl">
                            <w14:srgbClr w14:val="000000">
                              <w14:alpha w14:val="60000"/>
                            </w14:srgbClr>
                          </w14:shadow>
                        </w:rPr>
                        <w:t>promotions.</w:t>
                      </w:r>
                    </w:p>
                  </w:txbxContent>
                </v:textbox>
                <w10:wrap type="square" anchorx="margin"/>
              </v:shape>
            </w:pict>
          </mc:Fallback>
        </mc:AlternateContent>
      </w:r>
      <w:r w:rsidR="000F6A89">
        <w:rPr>
          <w:rFonts w:asciiTheme="majorHAnsi" w:hAnsiTheme="majorHAnsi" w:cstheme="majorHAnsi"/>
          <w:b/>
          <w:color w:val="923118" w:themeColor="accent2" w:themeShade="BF"/>
        </w:rPr>
        <w:t>“</w:t>
      </w:r>
      <w:r w:rsidR="00D929AA" w:rsidRPr="00D929AA">
        <w:rPr>
          <w:rFonts w:asciiTheme="majorHAnsi" w:hAnsiTheme="majorHAnsi" w:cstheme="majorHAnsi"/>
          <w:b/>
          <w:color w:val="923118" w:themeColor="accent2" w:themeShade="BF"/>
        </w:rPr>
        <w:t>Fiduciary Rule</w:t>
      </w:r>
      <w:r w:rsidR="000F6A89">
        <w:rPr>
          <w:rFonts w:asciiTheme="majorHAnsi" w:hAnsiTheme="majorHAnsi" w:cstheme="majorHAnsi"/>
          <w:b/>
          <w:color w:val="923118" w:themeColor="accent2" w:themeShade="BF"/>
        </w:rPr>
        <w:t>”</w:t>
      </w:r>
      <w:r w:rsidR="00D929AA" w:rsidRPr="00D929AA">
        <w:rPr>
          <w:rFonts w:asciiTheme="majorHAnsi" w:hAnsiTheme="majorHAnsi" w:cstheme="majorHAnsi"/>
          <w:b/>
          <w:color w:val="923118" w:themeColor="accent2" w:themeShade="BF"/>
        </w:rPr>
        <w:t xml:space="preserve"> Revisited by Administration and Congress</w:t>
      </w:r>
      <w:r w:rsidR="00224F67">
        <w:rPr>
          <w:rFonts w:asciiTheme="majorHAnsi" w:hAnsiTheme="majorHAnsi" w:cstheme="majorHAnsi"/>
          <w:b/>
          <w:color w:val="923118" w:themeColor="accent2" w:themeShade="BF"/>
        </w:rPr>
        <w:t xml:space="preserve"> – Impact on Incentive Travel </w:t>
      </w:r>
      <w:r w:rsidR="00AE171D">
        <w:rPr>
          <w:rFonts w:asciiTheme="majorHAnsi" w:hAnsiTheme="majorHAnsi" w:cstheme="majorHAnsi"/>
          <w:b/>
          <w:color w:val="923118" w:themeColor="accent2" w:themeShade="BF"/>
        </w:rPr>
        <w:t xml:space="preserve">Programs </w:t>
      </w:r>
      <w:r w:rsidR="00224F67">
        <w:rPr>
          <w:rFonts w:asciiTheme="majorHAnsi" w:hAnsiTheme="majorHAnsi" w:cstheme="majorHAnsi"/>
          <w:b/>
          <w:color w:val="923118" w:themeColor="accent2" w:themeShade="BF"/>
        </w:rPr>
        <w:t>Unclear</w:t>
      </w:r>
    </w:p>
    <w:p w:rsidR="00D929AA" w:rsidRDefault="00D929AA" w:rsidP="00D929AA">
      <w:pPr>
        <w:shd w:val="clear" w:color="auto" w:fill="FFFFFF"/>
        <w:spacing w:line="276" w:lineRule="auto"/>
        <w:jc w:val="left"/>
        <w:rPr>
          <w:rFonts w:asciiTheme="majorHAnsi" w:eastAsia="Times New Roman" w:hAnsiTheme="majorHAnsi" w:cstheme="majorHAnsi"/>
          <w:color w:val="222222"/>
          <w:sz w:val="20"/>
          <w:szCs w:val="20"/>
          <w:lang w:eastAsia="en-US"/>
        </w:rPr>
      </w:pPr>
      <w:r w:rsidRPr="00D929AA">
        <w:rPr>
          <w:rFonts w:asciiTheme="majorHAnsi" w:eastAsia="Times New Roman" w:hAnsiTheme="majorHAnsi" w:cstheme="majorHAnsi"/>
          <w:color w:val="222222"/>
          <w:sz w:val="20"/>
          <w:szCs w:val="20"/>
          <w:lang w:eastAsia="en-US"/>
        </w:rPr>
        <w:t>The Department of Labor</w:t>
      </w:r>
      <w:r>
        <w:rPr>
          <w:rFonts w:asciiTheme="majorHAnsi" w:eastAsia="Times New Roman" w:hAnsiTheme="majorHAnsi" w:cstheme="majorHAnsi"/>
          <w:color w:val="222222"/>
          <w:sz w:val="20"/>
          <w:szCs w:val="20"/>
          <w:lang w:eastAsia="en-US"/>
        </w:rPr>
        <w:t xml:space="preserve">’s </w:t>
      </w:r>
      <w:r w:rsidR="00224F67">
        <w:rPr>
          <w:rFonts w:asciiTheme="majorHAnsi" w:eastAsia="Times New Roman" w:hAnsiTheme="majorHAnsi" w:cstheme="majorHAnsi"/>
          <w:color w:val="222222"/>
          <w:sz w:val="20"/>
          <w:szCs w:val="20"/>
          <w:lang w:eastAsia="en-US"/>
        </w:rPr>
        <w:t xml:space="preserve">(DOL) </w:t>
      </w:r>
      <w:r>
        <w:rPr>
          <w:rFonts w:asciiTheme="majorHAnsi" w:eastAsia="Times New Roman" w:hAnsiTheme="majorHAnsi" w:cstheme="majorHAnsi"/>
          <w:color w:val="222222"/>
          <w:sz w:val="20"/>
          <w:szCs w:val="20"/>
          <w:lang w:eastAsia="en-US"/>
        </w:rPr>
        <w:t>“Fiduciary Rule”</w:t>
      </w:r>
      <w:r w:rsidRPr="00D929AA">
        <w:rPr>
          <w:rFonts w:asciiTheme="majorHAnsi" w:eastAsia="Times New Roman" w:hAnsiTheme="majorHAnsi" w:cstheme="majorHAnsi"/>
          <w:color w:val="222222"/>
          <w:sz w:val="20"/>
          <w:szCs w:val="20"/>
          <w:lang w:eastAsia="en-US"/>
        </w:rPr>
        <w:t xml:space="preserve"> issued </w:t>
      </w:r>
      <w:r w:rsidR="001E2353">
        <w:rPr>
          <w:rFonts w:asciiTheme="majorHAnsi" w:eastAsia="Times New Roman" w:hAnsiTheme="majorHAnsi" w:cstheme="majorHAnsi"/>
          <w:color w:val="222222"/>
          <w:sz w:val="20"/>
          <w:szCs w:val="20"/>
          <w:lang w:eastAsia="en-US"/>
        </w:rPr>
        <w:t xml:space="preserve">in </w:t>
      </w:r>
      <w:r w:rsidRPr="00D929AA">
        <w:rPr>
          <w:rFonts w:asciiTheme="majorHAnsi" w:eastAsia="Times New Roman" w:hAnsiTheme="majorHAnsi" w:cstheme="majorHAnsi"/>
          <w:color w:val="222222"/>
          <w:sz w:val="20"/>
          <w:szCs w:val="20"/>
          <w:lang w:eastAsia="en-US"/>
        </w:rPr>
        <w:t xml:space="preserve">2016, </w:t>
      </w:r>
      <w:r>
        <w:rPr>
          <w:rFonts w:asciiTheme="majorHAnsi" w:eastAsia="Times New Roman" w:hAnsiTheme="majorHAnsi" w:cstheme="majorHAnsi"/>
          <w:color w:val="222222"/>
          <w:sz w:val="20"/>
          <w:szCs w:val="20"/>
          <w:lang w:eastAsia="en-US"/>
        </w:rPr>
        <w:t xml:space="preserve">and </w:t>
      </w:r>
      <w:r w:rsidRPr="00D929AA">
        <w:rPr>
          <w:rFonts w:asciiTheme="majorHAnsi" w:eastAsia="Times New Roman" w:hAnsiTheme="majorHAnsi" w:cstheme="majorHAnsi"/>
          <w:color w:val="222222"/>
          <w:sz w:val="20"/>
          <w:szCs w:val="20"/>
          <w:lang w:eastAsia="en-US"/>
        </w:rPr>
        <w:t xml:space="preserve">scheduled to be </w:t>
      </w:r>
      <w:r>
        <w:rPr>
          <w:rFonts w:asciiTheme="majorHAnsi" w:eastAsia="Times New Roman" w:hAnsiTheme="majorHAnsi" w:cstheme="majorHAnsi"/>
          <w:color w:val="222222"/>
          <w:sz w:val="20"/>
          <w:szCs w:val="20"/>
          <w:lang w:eastAsia="en-US"/>
        </w:rPr>
        <w:t xml:space="preserve">fully </w:t>
      </w:r>
      <w:r w:rsidRPr="00D929AA">
        <w:rPr>
          <w:rFonts w:asciiTheme="majorHAnsi" w:eastAsia="Times New Roman" w:hAnsiTheme="majorHAnsi" w:cstheme="majorHAnsi"/>
          <w:color w:val="222222"/>
          <w:sz w:val="20"/>
          <w:szCs w:val="20"/>
          <w:lang w:eastAsia="en-US"/>
        </w:rPr>
        <w:t>implemented by January 2018</w:t>
      </w:r>
      <w:r>
        <w:rPr>
          <w:rFonts w:asciiTheme="majorHAnsi" w:eastAsia="Times New Roman" w:hAnsiTheme="majorHAnsi" w:cstheme="majorHAnsi"/>
          <w:color w:val="222222"/>
          <w:sz w:val="20"/>
          <w:szCs w:val="20"/>
          <w:lang w:eastAsia="en-US"/>
        </w:rPr>
        <w:t>, is under further scrutiny and legislative challenges. The first stages of the regulation became effective June 9, 2017, even though the Administration has ordered the DOL to rev</w:t>
      </w:r>
      <w:r w:rsidR="001E2353">
        <w:rPr>
          <w:rFonts w:asciiTheme="majorHAnsi" w:eastAsia="Times New Roman" w:hAnsiTheme="majorHAnsi" w:cstheme="majorHAnsi"/>
          <w:color w:val="222222"/>
          <w:sz w:val="20"/>
          <w:szCs w:val="20"/>
          <w:lang w:eastAsia="en-US"/>
        </w:rPr>
        <w:t>iew the rule and recommend revisions. IFI’s analysis of the rule suggests that there are</w:t>
      </w:r>
      <w:r w:rsidRPr="00D929AA">
        <w:rPr>
          <w:rFonts w:asciiTheme="majorHAnsi" w:eastAsia="Times New Roman" w:hAnsiTheme="majorHAnsi" w:cstheme="majorHAnsi"/>
          <w:color w:val="222222"/>
          <w:sz w:val="20"/>
          <w:szCs w:val="20"/>
          <w:lang w:eastAsia="en-US"/>
        </w:rPr>
        <w:t xml:space="preserve"> significant implications for companies offering incentive travel and awards programs to the financial marketplace. </w:t>
      </w:r>
    </w:p>
    <w:p w:rsidR="001E2353" w:rsidRPr="00D929AA" w:rsidRDefault="001E2353" w:rsidP="00D929AA">
      <w:pPr>
        <w:shd w:val="clear" w:color="auto" w:fill="FFFFFF"/>
        <w:spacing w:line="276" w:lineRule="auto"/>
        <w:jc w:val="left"/>
        <w:rPr>
          <w:rFonts w:asciiTheme="majorHAnsi" w:eastAsia="Times New Roman" w:hAnsiTheme="majorHAnsi" w:cstheme="majorHAnsi"/>
          <w:color w:val="222222"/>
          <w:sz w:val="20"/>
          <w:szCs w:val="20"/>
          <w:lang w:eastAsia="en-US"/>
        </w:rPr>
      </w:pPr>
    </w:p>
    <w:p w:rsidR="00D929AA" w:rsidRDefault="00D929AA" w:rsidP="00D929AA">
      <w:pPr>
        <w:shd w:val="clear" w:color="auto" w:fill="FFFFFF"/>
        <w:spacing w:line="276" w:lineRule="auto"/>
        <w:jc w:val="left"/>
        <w:rPr>
          <w:rFonts w:asciiTheme="majorHAnsi" w:eastAsia="Times New Roman" w:hAnsiTheme="majorHAnsi" w:cstheme="majorHAnsi"/>
          <w:color w:val="222222"/>
          <w:sz w:val="20"/>
          <w:szCs w:val="20"/>
          <w:lang w:eastAsia="en-US"/>
        </w:rPr>
      </w:pPr>
      <w:r w:rsidRPr="00D929AA">
        <w:rPr>
          <w:rFonts w:asciiTheme="majorHAnsi" w:eastAsia="Times New Roman" w:hAnsiTheme="majorHAnsi" w:cstheme="majorHAnsi"/>
          <w:color w:val="222222"/>
          <w:sz w:val="20"/>
          <w:szCs w:val="20"/>
          <w:lang w:eastAsia="en-US"/>
        </w:rPr>
        <w:t xml:space="preserve">Until there is greater clarity with respect to the new fiduciary rule, some financial institutions may be leery of using incentive or award programs to motivate and/or compensate their employees, while others are restructuring their programs to place a greater emphasis on general recognition and education, for example, instead of providing sales-based incentives.  </w:t>
      </w:r>
    </w:p>
    <w:p w:rsidR="001E2353" w:rsidRDefault="001E2353" w:rsidP="00D929AA">
      <w:pPr>
        <w:shd w:val="clear" w:color="auto" w:fill="FFFFFF"/>
        <w:spacing w:line="276" w:lineRule="auto"/>
        <w:jc w:val="left"/>
        <w:rPr>
          <w:rFonts w:asciiTheme="majorHAnsi" w:eastAsia="Times New Roman" w:hAnsiTheme="majorHAnsi" w:cstheme="majorHAnsi"/>
          <w:color w:val="222222"/>
          <w:sz w:val="20"/>
          <w:szCs w:val="20"/>
          <w:lang w:eastAsia="en-US"/>
        </w:rPr>
      </w:pPr>
    </w:p>
    <w:p w:rsidR="000B47FF" w:rsidRPr="000B47FF" w:rsidRDefault="000B47FF" w:rsidP="00D929AA">
      <w:pPr>
        <w:shd w:val="clear" w:color="auto" w:fill="FFFFFF"/>
        <w:spacing w:line="276" w:lineRule="auto"/>
        <w:jc w:val="left"/>
        <w:rPr>
          <w:rFonts w:asciiTheme="majorHAnsi" w:eastAsia="Times New Roman" w:hAnsiTheme="majorHAnsi" w:cstheme="majorHAnsi"/>
          <w:color w:val="222222"/>
          <w:sz w:val="20"/>
          <w:szCs w:val="20"/>
          <w:lang w:eastAsia="en-US"/>
        </w:rPr>
      </w:pPr>
      <w:r>
        <w:rPr>
          <w:rFonts w:asciiTheme="majorHAnsi" w:eastAsia="Times New Roman" w:hAnsiTheme="majorHAnsi" w:cstheme="majorHAnsi"/>
          <w:color w:val="222222"/>
          <w:sz w:val="20"/>
          <w:szCs w:val="20"/>
          <w:lang w:eastAsia="en-US"/>
        </w:rPr>
        <w:t xml:space="preserve">While not readily apparent in the wording of the new fiduciary rule, which is an amendment to the </w:t>
      </w:r>
      <w:r w:rsidRPr="000B47FF">
        <w:rPr>
          <w:rFonts w:asciiTheme="majorHAnsi" w:hAnsiTheme="majorHAnsi" w:cstheme="majorHAnsi"/>
          <w:sz w:val="20"/>
          <w:szCs w:val="20"/>
        </w:rPr>
        <w:t>Employee Retirement Income Security Act</w:t>
      </w:r>
      <w:r>
        <w:rPr>
          <w:rFonts w:asciiTheme="majorHAnsi" w:hAnsiTheme="majorHAnsi" w:cstheme="majorHAnsi"/>
          <w:sz w:val="20"/>
          <w:szCs w:val="20"/>
        </w:rPr>
        <w:t xml:space="preserve">, part of the rule does suggest that incentive trips and other forms of rewards or incentives </w:t>
      </w:r>
      <w:r w:rsidR="007D6BEF">
        <w:rPr>
          <w:rFonts w:asciiTheme="majorHAnsi" w:hAnsiTheme="majorHAnsi" w:cstheme="majorHAnsi"/>
          <w:sz w:val="20"/>
          <w:szCs w:val="20"/>
        </w:rPr>
        <w:t>may</w:t>
      </w:r>
      <w:r>
        <w:rPr>
          <w:rFonts w:asciiTheme="majorHAnsi" w:hAnsiTheme="majorHAnsi" w:cstheme="majorHAnsi"/>
          <w:sz w:val="20"/>
          <w:szCs w:val="20"/>
        </w:rPr>
        <w:t xml:space="preserve"> no longer be acceptable</w:t>
      </w:r>
      <w:r w:rsidR="007D6BEF">
        <w:rPr>
          <w:rFonts w:asciiTheme="majorHAnsi" w:hAnsiTheme="majorHAnsi" w:cstheme="majorHAnsi"/>
          <w:sz w:val="20"/>
          <w:szCs w:val="20"/>
        </w:rPr>
        <w:t xml:space="preserve"> if they present conflicts of interest</w:t>
      </w:r>
      <w:bookmarkStart w:id="0" w:name="_GoBack"/>
      <w:bookmarkEnd w:id="0"/>
      <w:r>
        <w:rPr>
          <w:rFonts w:asciiTheme="majorHAnsi" w:hAnsiTheme="majorHAnsi" w:cstheme="majorHAnsi"/>
          <w:sz w:val="20"/>
          <w:szCs w:val="20"/>
        </w:rPr>
        <w:t xml:space="preserve">. See Senator Elizabeth Warren’s </w:t>
      </w:r>
      <w:r w:rsidR="000F6A89">
        <w:rPr>
          <w:rFonts w:asciiTheme="majorHAnsi" w:hAnsiTheme="majorHAnsi" w:cstheme="majorHAnsi"/>
          <w:sz w:val="20"/>
          <w:szCs w:val="20"/>
        </w:rPr>
        <w:t xml:space="preserve">October 2015 report, </w:t>
      </w:r>
      <w:hyperlink r:id="rId9" w:history="1">
        <w:r w:rsidR="000F6A89" w:rsidRPr="007C7E68">
          <w:rPr>
            <w:rStyle w:val="Hyperlink"/>
            <w:rFonts w:asciiTheme="majorHAnsi" w:hAnsiTheme="majorHAnsi" w:cstheme="majorHAnsi"/>
            <w:color w:val="923118" w:themeColor="accent2" w:themeShade="BF"/>
            <w:sz w:val="20"/>
            <w:szCs w:val="20"/>
          </w:rPr>
          <w:t>“Villas, Castles and Vacations: How Perks and Giveaways Create Conflicts of Interest in the Annuity Industry,”</w:t>
        </w:r>
      </w:hyperlink>
      <w:r w:rsidR="000F6A89">
        <w:rPr>
          <w:rFonts w:asciiTheme="majorHAnsi" w:hAnsiTheme="majorHAnsi" w:cstheme="majorHAnsi"/>
          <w:sz w:val="20"/>
          <w:szCs w:val="20"/>
        </w:rPr>
        <w:t xml:space="preserve"> that was an impetus for the new rule. Note that incentive travel was not the only form of sales incentive targeted.   </w:t>
      </w:r>
    </w:p>
    <w:p w:rsidR="000B47FF" w:rsidRPr="00D929AA" w:rsidRDefault="000B47FF" w:rsidP="00D929AA">
      <w:pPr>
        <w:shd w:val="clear" w:color="auto" w:fill="FFFFFF"/>
        <w:spacing w:line="276" w:lineRule="auto"/>
        <w:jc w:val="left"/>
        <w:rPr>
          <w:rFonts w:asciiTheme="majorHAnsi" w:eastAsia="Times New Roman" w:hAnsiTheme="majorHAnsi" w:cstheme="majorHAnsi"/>
          <w:color w:val="222222"/>
          <w:sz w:val="20"/>
          <w:szCs w:val="20"/>
          <w:lang w:eastAsia="en-US"/>
        </w:rPr>
      </w:pPr>
    </w:p>
    <w:p w:rsidR="00224F67" w:rsidRDefault="001E2353" w:rsidP="001E04BB">
      <w:pPr>
        <w:shd w:val="clear" w:color="auto" w:fill="FFFFFF"/>
        <w:spacing w:after="240" w:line="276" w:lineRule="auto"/>
        <w:jc w:val="left"/>
        <w:rPr>
          <w:rFonts w:asciiTheme="majorHAnsi" w:hAnsiTheme="majorHAnsi" w:cstheme="majorHAnsi"/>
          <w:color w:val="333333"/>
          <w:sz w:val="20"/>
          <w:szCs w:val="20"/>
        </w:rPr>
      </w:pPr>
      <w:r w:rsidRPr="001E2353">
        <w:rPr>
          <w:rFonts w:asciiTheme="majorHAnsi" w:hAnsiTheme="majorHAnsi" w:cstheme="majorHAnsi"/>
          <w:color w:val="333333"/>
          <w:sz w:val="20"/>
          <w:szCs w:val="20"/>
        </w:rPr>
        <w:t xml:space="preserve">In early June </w:t>
      </w:r>
      <w:r>
        <w:rPr>
          <w:rFonts w:asciiTheme="majorHAnsi" w:hAnsiTheme="majorHAnsi" w:cstheme="majorHAnsi"/>
          <w:color w:val="333333"/>
          <w:sz w:val="20"/>
          <w:szCs w:val="20"/>
        </w:rPr>
        <w:t xml:space="preserve">a </w:t>
      </w:r>
      <w:r w:rsidRPr="001E2353">
        <w:rPr>
          <w:rFonts w:asciiTheme="majorHAnsi" w:hAnsiTheme="majorHAnsi" w:cstheme="majorHAnsi"/>
          <w:color w:val="333333"/>
          <w:sz w:val="20"/>
          <w:szCs w:val="20"/>
        </w:rPr>
        <w:t xml:space="preserve">round of legislation was introduced to replace the DOL’s fiduciary standard for employer-sponsored retirement savings plans with a new one agreed to by Congress. </w:t>
      </w:r>
      <w:r>
        <w:rPr>
          <w:rFonts w:asciiTheme="majorHAnsi" w:hAnsiTheme="majorHAnsi" w:cstheme="majorHAnsi"/>
          <w:color w:val="333333"/>
          <w:sz w:val="20"/>
          <w:szCs w:val="20"/>
        </w:rPr>
        <w:t>T</w:t>
      </w:r>
      <w:r w:rsidRPr="001E2353">
        <w:rPr>
          <w:rFonts w:asciiTheme="majorHAnsi" w:hAnsiTheme="majorHAnsi" w:cstheme="majorHAnsi"/>
          <w:color w:val="333333"/>
          <w:sz w:val="20"/>
          <w:szCs w:val="20"/>
        </w:rPr>
        <w:t xml:space="preserve">he </w:t>
      </w:r>
      <w:hyperlink r:id="rId10" w:tgtFrame="_blank" w:history="1">
        <w:r w:rsidRPr="001E2353">
          <w:rPr>
            <w:rFonts w:asciiTheme="majorHAnsi" w:hAnsiTheme="majorHAnsi" w:cstheme="majorHAnsi"/>
            <w:color w:val="333333"/>
            <w:sz w:val="20"/>
            <w:szCs w:val="20"/>
          </w:rPr>
          <w:t>Affordable Retirement Advice for Savers Act</w:t>
        </w:r>
      </w:hyperlink>
      <w:r w:rsidRPr="001E2353">
        <w:rPr>
          <w:rFonts w:asciiTheme="majorHAnsi" w:hAnsiTheme="majorHAnsi" w:cstheme="majorHAnsi"/>
          <w:color w:val="333333"/>
          <w:sz w:val="20"/>
          <w:szCs w:val="20"/>
        </w:rPr>
        <w:t xml:space="preserve"> (H.R. 2823) </w:t>
      </w:r>
      <w:r>
        <w:rPr>
          <w:rFonts w:asciiTheme="majorHAnsi" w:hAnsiTheme="majorHAnsi" w:cstheme="majorHAnsi"/>
          <w:color w:val="333333"/>
          <w:sz w:val="20"/>
          <w:szCs w:val="20"/>
        </w:rPr>
        <w:t xml:space="preserve">would </w:t>
      </w:r>
      <w:r w:rsidRPr="001E2353">
        <w:rPr>
          <w:rFonts w:asciiTheme="majorHAnsi" w:hAnsiTheme="majorHAnsi" w:cstheme="majorHAnsi"/>
          <w:color w:val="333333"/>
          <w:sz w:val="20"/>
          <w:szCs w:val="20"/>
        </w:rPr>
        <w:t xml:space="preserve">repeal the DOL rule and establish a statutory definition of “investment advice” that would, among other things, set standards for providing information about investment options for employer-sponsored defined contribution savings plans, IRAs and HSAs. </w:t>
      </w:r>
    </w:p>
    <w:p w:rsidR="001E2353" w:rsidRDefault="001E2353" w:rsidP="001E04BB">
      <w:pPr>
        <w:shd w:val="clear" w:color="auto" w:fill="FFFFFF"/>
        <w:spacing w:after="240" w:line="276" w:lineRule="auto"/>
        <w:jc w:val="left"/>
        <w:rPr>
          <w:rFonts w:asciiTheme="majorHAnsi" w:hAnsiTheme="majorHAnsi" w:cstheme="majorHAnsi"/>
          <w:sz w:val="20"/>
          <w:szCs w:val="20"/>
        </w:rPr>
      </w:pPr>
      <w:r>
        <w:rPr>
          <w:rFonts w:asciiTheme="majorHAnsi" w:hAnsiTheme="majorHAnsi" w:cstheme="majorHAnsi"/>
          <w:color w:val="333333"/>
          <w:sz w:val="20"/>
          <w:szCs w:val="20"/>
        </w:rPr>
        <w:t xml:space="preserve">In the Senate the </w:t>
      </w:r>
      <w:hyperlink r:id="rId11" w:tgtFrame="_blank" w:history="1">
        <w:r w:rsidRPr="001E2353">
          <w:rPr>
            <w:rFonts w:asciiTheme="majorHAnsi" w:hAnsiTheme="majorHAnsi" w:cstheme="majorHAnsi"/>
            <w:color w:val="333333"/>
            <w:sz w:val="20"/>
            <w:szCs w:val="20"/>
          </w:rPr>
          <w:t>Affordable Retirement Advice Protection Act</w:t>
        </w:r>
      </w:hyperlink>
      <w:r w:rsidRPr="001E2353">
        <w:rPr>
          <w:rFonts w:asciiTheme="majorHAnsi" w:hAnsiTheme="majorHAnsi" w:cstheme="majorHAnsi"/>
          <w:color w:val="333333"/>
          <w:sz w:val="20"/>
          <w:szCs w:val="20"/>
        </w:rPr>
        <w:t xml:space="preserve"> (S.1321)  is similar to the House bill in that it would establish a new paradigm for investment advice for DC plans, but it does not expressly repeal the DOL rule nor create a fiduciary duty for IRAs and HSAs.</w:t>
      </w:r>
      <w:r>
        <w:rPr>
          <w:rFonts w:asciiTheme="majorHAnsi" w:hAnsiTheme="majorHAnsi" w:cstheme="majorHAnsi"/>
          <w:color w:val="333333"/>
          <w:sz w:val="20"/>
          <w:szCs w:val="20"/>
        </w:rPr>
        <w:t xml:space="preserve"> Additionally, the House </w:t>
      </w:r>
      <w:r w:rsidR="00224F67">
        <w:rPr>
          <w:rFonts w:asciiTheme="majorHAnsi" w:hAnsiTheme="majorHAnsi" w:cstheme="majorHAnsi"/>
          <w:color w:val="333333"/>
          <w:sz w:val="20"/>
          <w:szCs w:val="20"/>
        </w:rPr>
        <w:t xml:space="preserve">has </w:t>
      </w:r>
      <w:r w:rsidR="00224F67" w:rsidRPr="00224F67">
        <w:rPr>
          <w:rFonts w:asciiTheme="majorHAnsi" w:hAnsiTheme="majorHAnsi" w:cstheme="majorHAnsi"/>
          <w:color w:val="333333"/>
          <w:sz w:val="20"/>
          <w:szCs w:val="20"/>
        </w:rPr>
        <w:t>passed legislation  – the Financial CHOICE Act (</w:t>
      </w:r>
      <w:hyperlink r:id="rId12" w:anchor="toc-H0FE47823607049B4A2EA0B8FF96EFF81" w:tgtFrame="_blank" w:history="1">
        <w:r w:rsidR="00224F67" w:rsidRPr="00224F67">
          <w:rPr>
            <w:rFonts w:asciiTheme="majorHAnsi" w:hAnsiTheme="majorHAnsi" w:cstheme="majorHAnsi"/>
            <w:color w:val="333333"/>
            <w:sz w:val="20"/>
            <w:szCs w:val="20"/>
          </w:rPr>
          <w:t>H.R. 10</w:t>
        </w:r>
      </w:hyperlink>
      <w:r w:rsidR="00224F67" w:rsidRPr="00224F67">
        <w:rPr>
          <w:rFonts w:asciiTheme="majorHAnsi" w:hAnsiTheme="majorHAnsi" w:cstheme="majorHAnsi"/>
          <w:color w:val="333333"/>
          <w:sz w:val="20"/>
          <w:szCs w:val="20"/>
        </w:rPr>
        <w:t xml:space="preserve">, Sec. 841) – that includes a provision to </w:t>
      </w:r>
      <w:r w:rsidR="00224F67">
        <w:rPr>
          <w:rFonts w:asciiTheme="majorHAnsi" w:hAnsiTheme="majorHAnsi" w:cstheme="majorHAnsi"/>
          <w:color w:val="333333"/>
          <w:sz w:val="20"/>
          <w:szCs w:val="20"/>
        </w:rPr>
        <w:t xml:space="preserve">assign the responsibility for </w:t>
      </w:r>
      <w:r w:rsidR="00224F67" w:rsidRPr="00224F67">
        <w:rPr>
          <w:rFonts w:asciiTheme="majorHAnsi" w:hAnsiTheme="majorHAnsi" w:cstheme="majorHAnsi"/>
          <w:color w:val="333333"/>
          <w:sz w:val="20"/>
          <w:szCs w:val="20"/>
        </w:rPr>
        <w:t>defining the guardrails for investment and other advice applicable to employer-sponsored retirement savings plans, including 401(k) plans and other defined contribution plans</w:t>
      </w:r>
      <w:r w:rsidR="00AE171D">
        <w:rPr>
          <w:rFonts w:asciiTheme="majorHAnsi" w:hAnsiTheme="majorHAnsi" w:cstheme="majorHAnsi"/>
          <w:color w:val="333333"/>
          <w:sz w:val="20"/>
          <w:szCs w:val="20"/>
        </w:rPr>
        <w:t>,</w:t>
      </w:r>
      <w:r w:rsidR="00224F67">
        <w:rPr>
          <w:rFonts w:asciiTheme="majorHAnsi" w:hAnsiTheme="majorHAnsi" w:cstheme="majorHAnsi"/>
          <w:color w:val="333333"/>
          <w:sz w:val="20"/>
          <w:szCs w:val="20"/>
        </w:rPr>
        <w:t xml:space="preserve"> to </w:t>
      </w:r>
      <w:r w:rsidR="00224F67">
        <w:rPr>
          <w:rFonts w:asciiTheme="majorHAnsi" w:hAnsiTheme="majorHAnsi" w:cstheme="majorHAnsi"/>
          <w:color w:val="333333"/>
          <w:sz w:val="20"/>
          <w:szCs w:val="20"/>
        </w:rPr>
        <w:lastRenderedPageBreak/>
        <w:t>the Securit</w:t>
      </w:r>
      <w:r w:rsidR="0079216E">
        <w:rPr>
          <w:rFonts w:asciiTheme="majorHAnsi" w:hAnsiTheme="majorHAnsi" w:cstheme="majorHAnsi"/>
          <w:color w:val="333333"/>
          <w:sz w:val="20"/>
          <w:szCs w:val="20"/>
        </w:rPr>
        <w:t>ies and</w:t>
      </w:r>
      <w:r w:rsidR="00224F67">
        <w:rPr>
          <w:rFonts w:asciiTheme="majorHAnsi" w:hAnsiTheme="majorHAnsi" w:cstheme="majorHAnsi"/>
          <w:color w:val="333333"/>
          <w:sz w:val="20"/>
          <w:szCs w:val="20"/>
        </w:rPr>
        <w:t xml:space="preserve"> Exchange Commission rather than the DOL. </w:t>
      </w:r>
      <w:r w:rsidR="000F6A89">
        <w:rPr>
          <w:rFonts w:asciiTheme="majorHAnsi" w:hAnsiTheme="majorHAnsi" w:cstheme="majorHAnsi"/>
          <w:color w:val="333333"/>
          <w:sz w:val="20"/>
          <w:szCs w:val="20"/>
        </w:rPr>
        <w:t xml:space="preserve">Nothing that IFI has seen in the proposed legislation suggests that Congress aims to </w:t>
      </w:r>
      <w:r w:rsidR="00747FA8">
        <w:rPr>
          <w:rFonts w:asciiTheme="majorHAnsi" w:hAnsiTheme="majorHAnsi" w:cstheme="majorHAnsi"/>
          <w:color w:val="333333"/>
          <w:sz w:val="20"/>
          <w:szCs w:val="20"/>
        </w:rPr>
        <w:t>address</w:t>
      </w:r>
      <w:r w:rsidR="000F6A89">
        <w:rPr>
          <w:rFonts w:asciiTheme="majorHAnsi" w:hAnsiTheme="majorHAnsi" w:cstheme="majorHAnsi"/>
          <w:color w:val="333333"/>
          <w:sz w:val="20"/>
          <w:szCs w:val="20"/>
        </w:rPr>
        <w:t xml:space="preserve"> the contention that sales incentives present a conflict of interest for financial services providers.</w:t>
      </w:r>
    </w:p>
    <w:p w:rsidR="00224F67" w:rsidRPr="00224F67" w:rsidRDefault="00224F67" w:rsidP="00224F67">
      <w:pPr>
        <w:shd w:val="clear" w:color="auto" w:fill="FFFFFF"/>
        <w:spacing w:line="276" w:lineRule="auto"/>
        <w:jc w:val="left"/>
        <w:rPr>
          <w:rFonts w:asciiTheme="majorHAnsi" w:eastAsia="Times New Roman" w:hAnsiTheme="majorHAnsi" w:cstheme="majorHAnsi"/>
          <w:sz w:val="20"/>
          <w:szCs w:val="20"/>
          <w:lang w:eastAsia="en-US"/>
        </w:rPr>
      </w:pPr>
      <w:r>
        <w:rPr>
          <w:rFonts w:asciiTheme="majorHAnsi" w:hAnsiTheme="majorHAnsi" w:cstheme="majorHAnsi"/>
          <w:sz w:val="20"/>
          <w:szCs w:val="20"/>
        </w:rPr>
        <w:t>For the time being, how any of the proposed changes might affect or give relief to the incentive travel industry remains unclear.</w:t>
      </w:r>
      <w:r w:rsidRPr="00224F67">
        <w:rPr>
          <w:rFonts w:asciiTheme="majorHAnsi" w:eastAsiaTheme="minorHAnsi" w:hAnsiTheme="majorHAnsi" w:cstheme="majorHAnsi"/>
          <w:color w:val="404040" w:themeColor="text1" w:themeTint="BF"/>
          <w:kern w:val="2"/>
          <w:sz w:val="20"/>
          <w:szCs w:val="20"/>
          <w14:ligatures w14:val="standard"/>
        </w:rPr>
        <w:t xml:space="preserve"> </w:t>
      </w:r>
      <w:r w:rsidRPr="00224F67">
        <w:rPr>
          <w:rFonts w:asciiTheme="majorHAnsi" w:eastAsia="Times New Roman" w:hAnsiTheme="majorHAnsi" w:cstheme="majorHAnsi"/>
          <w:color w:val="222222"/>
          <w:sz w:val="20"/>
          <w:szCs w:val="20"/>
          <w:lang w:eastAsia="en-US"/>
        </w:rPr>
        <w:t xml:space="preserve">For IFI’s Legal Counsel George Delta’s full explanation of the new rule's impact, click </w:t>
      </w:r>
      <w:hyperlink r:id="rId13" w:history="1">
        <w:r w:rsidRPr="00224F67">
          <w:rPr>
            <w:rFonts w:asciiTheme="majorHAnsi" w:eastAsia="Times New Roman" w:hAnsiTheme="majorHAnsi" w:cstheme="majorHAnsi"/>
            <w:color w:val="95441D" w:themeColor="text2" w:themeTint="BF"/>
            <w:sz w:val="20"/>
            <w:szCs w:val="20"/>
            <w:u w:val="single"/>
            <w:lang w:eastAsia="en-US"/>
          </w:rPr>
          <w:t>here</w:t>
        </w:r>
      </w:hyperlink>
      <w:r w:rsidRPr="00224F67">
        <w:rPr>
          <w:rFonts w:asciiTheme="majorHAnsi" w:eastAsia="Times New Roman" w:hAnsiTheme="majorHAnsi" w:cstheme="majorHAnsi"/>
          <w:color w:val="95441D" w:themeColor="text2" w:themeTint="BF"/>
          <w:sz w:val="20"/>
          <w:szCs w:val="20"/>
          <w:lang w:eastAsia="en-US"/>
        </w:rPr>
        <w:t>.</w:t>
      </w:r>
      <w:r>
        <w:rPr>
          <w:rFonts w:asciiTheme="majorHAnsi" w:eastAsia="Times New Roman" w:hAnsiTheme="majorHAnsi" w:cstheme="majorHAnsi"/>
          <w:color w:val="95441D" w:themeColor="text2" w:themeTint="BF"/>
          <w:sz w:val="20"/>
          <w:szCs w:val="20"/>
          <w:lang w:eastAsia="en-US"/>
        </w:rPr>
        <w:t xml:space="preserve"> </w:t>
      </w:r>
      <w:r>
        <w:rPr>
          <w:rFonts w:asciiTheme="majorHAnsi" w:eastAsia="Times New Roman" w:hAnsiTheme="majorHAnsi" w:cstheme="majorHAnsi"/>
          <w:sz w:val="20"/>
          <w:szCs w:val="20"/>
          <w:lang w:eastAsia="en-US"/>
        </w:rPr>
        <w:t>The IFI will continue to monitor the proposed legislation and determine if there is any opportunity to positively i</w:t>
      </w:r>
      <w:r w:rsidR="0079216E">
        <w:rPr>
          <w:rFonts w:asciiTheme="majorHAnsi" w:eastAsia="Times New Roman" w:hAnsiTheme="majorHAnsi" w:cstheme="majorHAnsi"/>
          <w:sz w:val="20"/>
          <w:szCs w:val="20"/>
          <w:lang w:eastAsia="en-US"/>
        </w:rPr>
        <w:t>nfluence</w:t>
      </w:r>
      <w:r>
        <w:rPr>
          <w:rFonts w:asciiTheme="majorHAnsi" w:eastAsia="Times New Roman" w:hAnsiTheme="majorHAnsi" w:cstheme="majorHAnsi"/>
          <w:sz w:val="20"/>
          <w:szCs w:val="20"/>
          <w:lang w:eastAsia="en-US"/>
        </w:rPr>
        <w:t xml:space="preserve"> the </w:t>
      </w:r>
      <w:r w:rsidR="0079216E">
        <w:rPr>
          <w:rFonts w:asciiTheme="majorHAnsi" w:eastAsia="Times New Roman" w:hAnsiTheme="majorHAnsi" w:cstheme="majorHAnsi"/>
          <w:sz w:val="20"/>
          <w:szCs w:val="20"/>
          <w:lang w:eastAsia="en-US"/>
        </w:rPr>
        <w:t xml:space="preserve">impact on </w:t>
      </w:r>
      <w:r>
        <w:rPr>
          <w:rFonts w:asciiTheme="majorHAnsi" w:eastAsia="Times New Roman" w:hAnsiTheme="majorHAnsi" w:cstheme="majorHAnsi"/>
          <w:sz w:val="20"/>
          <w:szCs w:val="20"/>
          <w:lang w:eastAsia="en-US"/>
        </w:rPr>
        <w:t xml:space="preserve">incentive travel </w:t>
      </w:r>
      <w:r w:rsidR="0079216E">
        <w:rPr>
          <w:rFonts w:asciiTheme="majorHAnsi" w:eastAsia="Times New Roman" w:hAnsiTheme="majorHAnsi" w:cstheme="majorHAnsi"/>
          <w:sz w:val="20"/>
          <w:szCs w:val="20"/>
          <w:lang w:eastAsia="en-US"/>
        </w:rPr>
        <w:t xml:space="preserve">programs sponsored by financial companies. </w:t>
      </w:r>
    </w:p>
    <w:p w:rsidR="00D929AA" w:rsidRDefault="00D929AA" w:rsidP="001E04BB">
      <w:pPr>
        <w:shd w:val="clear" w:color="auto" w:fill="FFFFFF"/>
        <w:spacing w:after="240" w:line="276" w:lineRule="auto"/>
        <w:jc w:val="left"/>
        <w:rPr>
          <w:rFonts w:asciiTheme="majorHAnsi" w:hAnsiTheme="majorHAnsi" w:cstheme="majorHAnsi"/>
          <w:sz w:val="20"/>
          <w:szCs w:val="20"/>
        </w:rPr>
      </w:pPr>
    </w:p>
    <w:p w:rsidR="003836AD" w:rsidRDefault="003836AD" w:rsidP="000018C5">
      <w:pPr>
        <w:shd w:val="clear" w:color="auto" w:fill="FFFFFF"/>
        <w:rPr>
          <w:rFonts w:asciiTheme="majorHAnsi" w:eastAsia="Times New Roman" w:hAnsiTheme="majorHAnsi" w:cstheme="majorHAnsi"/>
          <w:b/>
          <w:color w:val="95441D" w:themeColor="text2" w:themeTint="BF"/>
          <w:lang w:eastAsia="en-US"/>
        </w:rPr>
      </w:pPr>
      <w:r w:rsidRPr="003836AD">
        <w:rPr>
          <w:rFonts w:asciiTheme="majorHAnsi" w:eastAsia="Times New Roman" w:hAnsiTheme="majorHAnsi" w:cstheme="majorHAnsi"/>
          <w:b/>
          <w:color w:val="95441D" w:themeColor="text2" w:themeTint="BF"/>
          <w:lang w:eastAsia="en-US"/>
        </w:rPr>
        <w:t>New Federation Members</w:t>
      </w:r>
    </w:p>
    <w:p w:rsidR="003836AD" w:rsidRDefault="003836AD" w:rsidP="000018C5">
      <w:pPr>
        <w:shd w:val="clear" w:color="auto" w:fill="FFFFFF"/>
        <w:rPr>
          <w:rFonts w:asciiTheme="majorHAnsi" w:eastAsia="Times New Roman" w:hAnsiTheme="majorHAnsi" w:cstheme="majorHAnsi"/>
          <w:b/>
          <w:color w:val="95441D" w:themeColor="text2" w:themeTint="BF"/>
          <w:lang w:eastAsia="en-US"/>
        </w:rPr>
      </w:pPr>
    </w:p>
    <w:p w:rsidR="00523ECD" w:rsidRPr="00523ECD" w:rsidRDefault="003836AD" w:rsidP="000018C5">
      <w:pPr>
        <w:shd w:val="clear" w:color="auto" w:fill="FFFFFF"/>
        <w:rPr>
          <w:rFonts w:asciiTheme="majorHAnsi" w:eastAsia="Times New Roman" w:hAnsiTheme="majorHAnsi" w:cstheme="majorHAnsi"/>
          <w:lang w:eastAsia="en-US"/>
        </w:rPr>
      </w:pPr>
      <w:r>
        <w:rPr>
          <w:rFonts w:asciiTheme="majorHAnsi" w:eastAsia="Times New Roman" w:hAnsiTheme="majorHAnsi" w:cstheme="majorHAnsi"/>
          <w:lang w:eastAsia="en-US"/>
        </w:rPr>
        <w:t>The Incentive Federation wel</w:t>
      </w:r>
      <w:r w:rsidRPr="003836AD">
        <w:rPr>
          <w:rFonts w:asciiTheme="majorHAnsi" w:eastAsia="Times New Roman" w:hAnsiTheme="majorHAnsi" w:cstheme="majorHAnsi"/>
          <w:lang w:eastAsia="en-US"/>
        </w:rPr>
        <w:t xml:space="preserve">comes </w:t>
      </w:r>
      <w:r>
        <w:rPr>
          <w:rFonts w:asciiTheme="majorHAnsi" w:eastAsia="Times New Roman" w:hAnsiTheme="majorHAnsi" w:cstheme="majorHAnsi"/>
          <w:lang w:eastAsia="en-US"/>
        </w:rPr>
        <w:t xml:space="preserve">the following </w:t>
      </w:r>
      <w:r w:rsidR="000467DF">
        <w:rPr>
          <w:rFonts w:asciiTheme="majorHAnsi" w:eastAsia="Times New Roman" w:hAnsiTheme="majorHAnsi" w:cstheme="majorHAnsi"/>
          <w:lang w:eastAsia="en-US"/>
        </w:rPr>
        <w:t xml:space="preserve">new members who have joined in </w:t>
      </w:r>
      <w:r>
        <w:rPr>
          <w:rFonts w:asciiTheme="majorHAnsi" w:eastAsia="Times New Roman" w:hAnsiTheme="majorHAnsi" w:cstheme="majorHAnsi"/>
          <w:lang w:eastAsia="en-US"/>
        </w:rPr>
        <w:t>2017.</w:t>
      </w:r>
    </w:p>
    <w:p w:rsidR="00523ECD" w:rsidRDefault="00523ECD" w:rsidP="000018C5">
      <w:pPr>
        <w:shd w:val="clear" w:color="auto" w:fill="FFFFFF"/>
        <w:rPr>
          <w:rFonts w:asciiTheme="majorHAnsi" w:eastAsia="Times New Roman" w:hAnsiTheme="majorHAnsi" w:cstheme="majorHAnsi"/>
          <w:b/>
          <w:lang w:eastAsia="en-US"/>
        </w:rPr>
      </w:pPr>
    </w:p>
    <w:p w:rsidR="003836AD" w:rsidRDefault="003836AD" w:rsidP="000018C5">
      <w:pPr>
        <w:shd w:val="clear" w:color="auto" w:fill="FFFFFF"/>
        <w:rPr>
          <w:rFonts w:asciiTheme="majorHAnsi" w:hAnsiTheme="majorHAnsi" w:cstheme="majorHAnsi"/>
          <w:bCs/>
          <w:color w:val="000000"/>
          <w:shd w:val="clear" w:color="auto" w:fill="FFFFFF"/>
        </w:rPr>
      </w:pPr>
      <w:r w:rsidRPr="000467DF">
        <w:rPr>
          <w:rFonts w:asciiTheme="majorHAnsi" w:eastAsia="Times New Roman" w:hAnsiTheme="majorHAnsi" w:cstheme="majorHAnsi"/>
          <w:b/>
          <w:lang w:eastAsia="en-US"/>
        </w:rPr>
        <w:t>Advertising Specialty Institute</w:t>
      </w:r>
      <w:r>
        <w:rPr>
          <w:rFonts w:asciiTheme="majorHAnsi" w:eastAsia="Times New Roman" w:hAnsiTheme="majorHAnsi" w:cstheme="majorHAnsi"/>
          <w:lang w:eastAsia="en-US"/>
        </w:rPr>
        <w:t xml:space="preserve"> - </w:t>
      </w:r>
      <w:r w:rsidRPr="003836AD">
        <w:rPr>
          <w:rFonts w:asciiTheme="majorHAnsi" w:hAnsiTheme="majorHAnsi" w:cstheme="majorHAnsi"/>
          <w:bCs/>
          <w:color w:val="000000"/>
          <w:shd w:val="clear" w:color="auto" w:fill="FFFFFF"/>
        </w:rPr>
        <w:t>Rita Ugianskis-Fishman</w:t>
      </w:r>
    </w:p>
    <w:p w:rsidR="00523ECD" w:rsidRDefault="00523ECD" w:rsidP="000018C5">
      <w:pPr>
        <w:shd w:val="clear" w:color="auto" w:fill="FFFFFF"/>
        <w:rPr>
          <w:rFonts w:asciiTheme="majorHAnsi" w:hAnsiTheme="majorHAnsi" w:cstheme="majorHAnsi"/>
          <w:bCs/>
          <w:color w:val="000000"/>
          <w:shd w:val="clear" w:color="auto" w:fill="FFFFFF"/>
        </w:rPr>
      </w:pPr>
      <w:r w:rsidRPr="00523ECD">
        <w:rPr>
          <w:rFonts w:asciiTheme="majorHAnsi" w:hAnsiTheme="majorHAnsi" w:cstheme="majorHAnsi"/>
          <w:b/>
          <w:bCs/>
          <w:color w:val="000000"/>
          <w:shd w:val="clear" w:color="auto" w:fill="FFFFFF"/>
        </w:rPr>
        <w:t>Castelli North America</w:t>
      </w:r>
      <w:r>
        <w:rPr>
          <w:rFonts w:asciiTheme="majorHAnsi" w:hAnsiTheme="majorHAnsi" w:cstheme="majorHAnsi"/>
          <w:bCs/>
          <w:color w:val="000000"/>
          <w:shd w:val="clear" w:color="auto" w:fill="FFFFFF"/>
        </w:rPr>
        <w:t xml:space="preserve"> – Fran Ford</w:t>
      </w:r>
    </w:p>
    <w:p w:rsidR="003836AD" w:rsidRDefault="003836AD" w:rsidP="000018C5">
      <w:pPr>
        <w:shd w:val="clear" w:color="auto" w:fill="FFFFFF"/>
        <w:rPr>
          <w:rFonts w:asciiTheme="majorHAnsi" w:hAnsiTheme="majorHAnsi" w:cstheme="majorHAnsi"/>
          <w:bCs/>
          <w:color w:val="000000"/>
          <w:shd w:val="clear" w:color="auto" w:fill="FFFFFF"/>
        </w:rPr>
      </w:pPr>
      <w:r w:rsidRPr="000467DF">
        <w:rPr>
          <w:rFonts w:asciiTheme="majorHAnsi" w:hAnsiTheme="majorHAnsi" w:cstheme="majorHAnsi"/>
          <w:b/>
          <w:bCs/>
          <w:color w:val="000000"/>
          <w:shd w:val="clear" w:color="auto" w:fill="FFFFFF"/>
        </w:rPr>
        <w:t>Citizen Watch Company of America</w:t>
      </w:r>
      <w:r>
        <w:rPr>
          <w:rFonts w:asciiTheme="majorHAnsi" w:hAnsiTheme="majorHAnsi" w:cstheme="majorHAnsi"/>
          <w:bCs/>
          <w:color w:val="000000"/>
          <w:shd w:val="clear" w:color="auto" w:fill="FFFFFF"/>
        </w:rPr>
        <w:t xml:space="preserve"> – Richard Low</w:t>
      </w:r>
    </w:p>
    <w:p w:rsidR="00476317" w:rsidRDefault="00476317" w:rsidP="000018C5">
      <w:pPr>
        <w:shd w:val="clear" w:color="auto" w:fill="FFFFFF"/>
        <w:rPr>
          <w:rFonts w:asciiTheme="majorHAnsi" w:hAnsiTheme="majorHAnsi" w:cstheme="majorHAnsi"/>
          <w:bCs/>
          <w:color w:val="000000"/>
          <w:shd w:val="clear" w:color="auto" w:fill="FFFFFF"/>
        </w:rPr>
      </w:pPr>
      <w:r w:rsidRPr="000467DF">
        <w:rPr>
          <w:rFonts w:asciiTheme="majorHAnsi" w:hAnsiTheme="majorHAnsi" w:cstheme="majorHAnsi"/>
          <w:b/>
          <w:bCs/>
          <w:color w:val="000000"/>
          <w:shd w:val="clear" w:color="auto" w:fill="FFFFFF"/>
        </w:rPr>
        <w:t>Fujifilm North America</w:t>
      </w:r>
      <w:r>
        <w:rPr>
          <w:rFonts w:asciiTheme="majorHAnsi" w:hAnsiTheme="majorHAnsi" w:cstheme="majorHAnsi"/>
          <w:bCs/>
          <w:color w:val="000000"/>
          <w:shd w:val="clear" w:color="auto" w:fill="FFFFFF"/>
        </w:rPr>
        <w:t xml:space="preserve"> – Joe Hafenscher</w:t>
      </w:r>
    </w:p>
    <w:p w:rsidR="00476317" w:rsidRDefault="00476317" w:rsidP="000018C5">
      <w:pPr>
        <w:shd w:val="clear" w:color="auto" w:fill="FFFFFF"/>
        <w:rPr>
          <w:rFonts w:asciiTheme="majorHAnsi" w:hAnsiTheme="majorHAnsi" w:cstheme="majorHAnsi"/>
          <w:bCs/>
          <w:color w:val="000000"/>
          <w:shd w:val="clear" w:color="auto" w:fill="FFFFFF"/>
        </w:rPr>
      </w:pPr>
      <w:r w:rsidRPr="000467DF">
        <w:rPr>
          <w:rFonts w:asciiTheme="majorHAnsi" w:hAnsiTheme="majorHAnsi" w:cstheme="majorHAnsi"/>
          <w:b/>
          <w:bCs/>
          <w:color w:val="000000"/>
          <w:shd w:val="clear" w:color="auto" w:fill="FFFFFF"/>
        </w:rPr>
        <w:t>Great Lakes Incentive Group</w:t>
      </w:r>
      <w:r>
        <w:rPr>
          <w:rFonts w:asciiTheme="majorHAnsi" w:hAnsiTheme="majorHAnsi" w:cstheme="majorHAnsi"/>
          <w:bCs/>
          <w:color w:val="000000"/>
          <w:shd w:val="clear" w:color="auto" w:fill="FFFFFF"/>
        </w:rPr>
        <w:t xml:space="preserve"> – Mark Oldenburg</w:t>
      </w:r>
    </w:p>
    <w:p w:rsidR="00476317" w:rsidRDefault="00476317" w:rsidP="000018C5">
      <w:pPr>
        <w:shd w:val="clear" w:color="auto" w:fill="FFFFFF"/>
        <w:rPr>
          <w:rFonts w:asciiTheme="majorHAnsi" w:hAnsiTheme="majorHAnsi" w:cstheme="majorHAnsi"/>
          <w:bCs/>
          <w:color w:val="000000"/>
          <w:shd w:val="clear" w:color="auto" w:fill="FFFFFF"/>
        </w:rPr>
      </w:pPr>
      <w:r w:rsidRPr="000467DF">
        <w:rPr>
          <w:rFonts w:asciiTheme="majorHAnsi" w:hAnsiTheme="majorHAnsi" w:cstheme="majorHAnsi"/>
          <w:b/>
          <w:bCs/>
          <w:color w:val="000000"/>
          <w:shd w:val="clear" w:color="auto" w:fill="FFFFFF"/>
        </w:rPr>
        <w:t>Indigo Watch Company</w:t>
      </w:r>
      <w:r>
        <w:rPr>
          <w:rFonts w:asciiTheme="majorHAnsi" w:hAnsiTheme="majorHAnsi" w:cstheme="majorHAnsi"/>
          <w:bCs/>
          <w:color w:val="000000"/>
          <w:shd w:val="clear" w:color="auto" w:fill="FFFFFF"/>
        </w:rPr>
        <w:t xml:space="preserve"> – Dean Resnekov</w:t>
      </w:r>
    </w:p>
    <w:p w:rsidR="00523ECD" w:rsidRDefault="00523ECD" w:rsidP="000018C5">
      <w:pPr>
        <w:shd w:val="clear" w:color="auto" w:fill="FFFFFF"/>
        <w:rPr>
          <w:rFonts w:asciiTheme="majorHAnsi" w:hAnsiTheme="majorHAnsi" w:cstheme="majorHAnsi"/>
          <w:bCs/>
          <w:color w:val="000000"/>
          <w:shd w:val="clear" w:color="auto" w:fill="FFFFFF"/>
        </w:rPr>
      </w:pPr>
      <w:r w:rsidRPr="00523ECD">
        <w:rPr>
          <w:rFonts w:asciiTheme="majorHAnsi" w:hAnsiTheme="majorHAnsi" w:cstheme="majorHAnsi"/>
          <w:b/>
          <w:bCs/>
          <w:color w:val="000000"/>
          <w:shd w:val="clear" w:color="auto" w:fill="FFFFFF"/>
        </w:rPr>
        <w:t>Point Recognition</w:t>
      </w:r>
      <w:r>
        <w:rPr>
          <w:rFonts w:asciiTheme="majorHAnsi" w:hAnsiTheme="majorHAnsi" w:cstheme="majorHAnsi"/>
          <w:bCs/>
          <w:color w:val="000000"/>
          <w:shd w:val="clear" w:color="auto" w:fill="FFFFFF"/>
        </w:rPr>
        <w:t xml:space="preserve"> – Tim Geary</w:t>
      </w:r>
    </w:p>
    <w:p w:rsidR="003836AD" w:rsidRDefault="003836AD" w:rsidP="000018C5">
      <w:pPr>
        <w:shd w:val="clear" w:color="auto" w:fill="FFFFFF"/>
        <w:rPr>
          <w:rFonts w:asciiTheme="majorHAnsi" w:hAnsiTheme="majorHAnsi" w:cstheme="majorHAnsi"/>
          <w:bCs/>
          <w:color w:val="000000"/>
          <w:shd w:val="clear" w:color="auto" w:fill="FFFFFF"/>
        </w:rPr>
      </w:pPr>
    </w:p>
    <w:p w:rsidR="003836AD" w:rsidRPr="003836AD" w:rsidRDefault="003836AD" w:rsidP="000018C5">
      <w:pPr>
        <w:shd w:val="clear" w:color="auto" w:fill="FFFFFF"/>
        <w:rPr>
          <w:rFonts w:asciiTheme="majorHAnsi" w:eastAsia="Times New Roman" w:hAnsiTheme="majorHAnsi" w:cstheme="majorHAnsi"/>
          <w:lang w:eastAsia="en-US"/>
        </w:rPr>
      </w:pPr>
    </w:p>
    <w:p w:rsidR="00AC0ABB" w:rsidRDefault="00AC0ABB">
      <w:pPr>
        <w:rPr>
          <w:rFonts w:asciiTheme="majorHAnsi" w:hAnsiTheme="majorHAnsi" w:cstheme="majorHAnsi"/>
          <w:b/>
          <w:color w:val="95441D" w:themeColor="text2" w:themeTint="BF"/>
        </w:rPr>
      </w:pPr>
      <w:r w:rsidRPr="002D3945">
        <w:rPr>
          <w:rFonts w:asciiTheme="majorHAnsi" w:hAnsiTheme="majorHAnsi" w:cstheme="majorHAnsi"/>
          <w:b/>
          <w:color w:val="95441D" w:themeColor="text2" w:themeTint="BF"/>
        </w:rPr>
        <w:t>2017 Board of Directors</w:t>
      </w:r>
    </w:p>
    <w:p w:rsidR="00C53C4B" w:rsidRPr="002D3945" w:rsidRDefault="00C53C4B">
      <w:pPr>
        <w:rPr>
          <w:rFonts w:asciiTheme="majorHAnsi" w:hAnsiTheme="majorHAnsi" w:cstheme="majorHAnsi"/>
          <w:b/>
          <w:color w:val="95441D" w:themeColor="text2" w:themeTint="BF"/>
        </w:rPr>
      </w:pPr>
    </w:p>
    <w:p w:rsidR="00684A01" w:rsidRPr="00684A01" w:rsidRDefault="00684A01" w:rsidP="00C53C4B">
      <w:pPr>
        <w:spacing w:line="276" w:lineRule="auto"/>
        <w:rPr>
          <w:rFonts w:asciiTheme="majorHAnsi" w:hAnsiTheme="majorHAnsi" w:cstheme="majorHAnsi"/>
        </w:rPr>
      </w:pPr>
      <w:r w:rsidRPr="00684A01">
        <w:rPr>
          <w:rFonts w:asciiTheme="majorHAnsi" w:hAnsiTheme="majorHAnsi" w:cstheme="majorHAnsi"/>
        </w:rPr>
        <w:t xml:space="preserve">Chair – </w:t>
      </w:r>
      <w:r w:rsidRPr="00387A00">
        <w:rPr>
          <w:rFonts w:asciiTheme="majorHAnsi" w:hAnsiTheme="majorHAnsi" w:cstheme="majorHAnsi"/>
          <w:b/>
        </w:rPr>
        <w:t>Paul Bellantone</w:t>
      </w:r>
      <w:r w:rsidRPr="00684A01">
        <w:rPr>
          <w:rFonts w:asciiTheme="majorHAnsi" w:hAnsiTheme="majorHAnsi" w:cstheme="majorHAnsi"/>
        </w:rPr>
        <w:t xml:space="preserve">, </w:t>
      </w:r>
      <w:r w:rsidR="00A176E5">
        <w:rPr>
          <w:rFonts w:asciiTheme="majorHAnsi" w:hAnsiTheme="majorHAnsi" w:cstheme="majorHAnsi"/>
        </w:rPr>
        <w:t xml:space="preserve">CAE, </w:t>
      </w:r>
      <w:r>
        <w:rPr>
          <w:rFonts w:asciiTheme="majorHAnsi" w:hAnsiTheme="majorHAnsi" w:cstheme="majorHAnsi"/>
        </w:rPr>
        <w:t>President, Promotional Products Association International</w:t>
      </w:r>
    </w:p>
    <w:p w:rsidR="00684A01" w:rsidRDefault="00684A01" w:rsidP="00C53C4B">
      <w:pPr>
        <w:spacing w:line="276" w:lineRule="auto"/>
        <w:rPr>
          <w:rFonts w:asciiTheme="majorHAnsi" w:hAnsiTheme="majorHAnsi" w:cstheme="majorHAnsi"/>
        </w:rPr>
      </w:pPr>
      <w:r w:rsidRPr="00684A01">
        <w:rPr>
          <w:rFonts w:asciiTheme="majorHAnsi" w:hAnsiTheme="majorHAnsi" w:cstheme="majorHAnsi"/>
        </w:rPr>
        <w:t xml:space="preserve">First Vice Chair, Associations – </w:t>
      </w:r>
      <w:r w:rsidRPr="00387A00">
        <w:rPr>
          <w:rFonts w:asciiTheme="majorHAnsi" w:hAnsiTheme="majorHAnsi" w:cstheme="majorHAnsi"/>
          <w:b/>
        </w:rPr>
        <w:t>Karen Wesloh</w:t>
      </w:r>
      <w:r w:rsidRPr="00684A01">
        <w:rPr>
          <w:rFonts w:asciiTheme="majorHAnsi" w:hAnsiTheme="majorHAnsi" w:cstheme="majorHAnsi"/>
        </w:rPr>
        <w:t xml:space="preserve">, </w:t>
      </w:r>
      <w:r w:rsidR="00A176E5">
        <w:rPr>
          <w:rFonts w:asciiTheme="majorHAnsi" w:hAnsiTheme="majorHAnsi" w:cstheme="majorHAnsi"/>
        </w:rPr>
        <w:t xml:space="preserve">CAE, CMP, </w:t>
      </w:r>
      <w:r>
        <w:rPr>
          <w:rFonts w:asciiTheme="majorHAnsi" w:hAnsiTheme="majorHAnsi" w:cstheme="majorHAnsi"/>
        </w:rPr>
        <w:t>Executive Director, Incentive Marketing Association</w:t>
      </w:r>
    </w:p>
    <w:p w:rsidR="00684A01" w:rsidRPr="00684A01" w:rsidRDefault="00684A01" w:rsidP="00C53C4B">
      <w:pPr>
        <w:spacing w:line="276" w:lineRule="auto"/>
        <w:rPr>
          <w:rFonts w:asciiTheme="majorHAnsi" w:hAnsiTheme="majorHAnsi" w:cstheme="majorHAnsi"/>
        </w:rPr>
      </w:pPr>
      <w:r w:rsidRPr="00684A01">
        <w:rPr>
          <w:rFonts w:asciiTheme="majorHAnsi" w:hAnsiTheme="majorHAnsi" w:cstheme="majorHAnsi"/>
        </w:rPr>
        <w:t xml:space="preserve">Second Vice Chair, Associations – </w:t>
      </w:r>
      <w:r w:rsidRPr="00387A00">
        <w:rPr>
          <w:rFonts w:asciiTheme="majorHAnsi" w:hAnsiTheme="majorHAnsi" w:cstheme="majorHAnsi"/>
          <w:b/>
        </w:rPr>
        <w:t>Kevin Hinton</w:t>
      </w:r>
      <w:r w:rsidRPr="00684A01">
        <w:rPr>
          <w:rFonts w:asciiTheme="majorHAnsi" w:hAnsiTheme="majorHAnsi" w:cstheme="majorHAnsi"/>
        </w:rPr>
        <w:t xml:space="preserve">, </w:t>
      </w:r>
      <w:r w:rsidR="00A176E5">
        <w:rPr>
          <w:rFonts w:asciiTheme="majorHAnsi" w:hAnsiTheme="majorHAnsi" w:cstheme="majorHAnsi"/>
        </w:rPr>
        <w:t xml:space="preserve">CIS, </w:t>
      </w:r>
      <w:r>
        <w:rPr>
          <w:rFonts w:asciiTheme="majorHAnsi" w:hAnsiTheme="majorHAnsi" w:cstheme="majorHAnsi"/>
        </w:rPr>
        <w:t>CEO, Society of Incentive Travel Excellenc</w:t>
      </w:r>
      <w:r w:rsidR="002B1396">
        <w:rPr>
          <w:rFonts w:asciiTheme="majorHAnsi" w:hAnsiTheme="majorHAnsi" w:cstheme="majorHAnsi"/>
        </w:rPr>
        <w:t>e</w:t>
      </w:r>
    </w:p>
    <w:p w:rsidR="00684A01" w:rsidRPr="00684A01" w:rsidRDefault="00684A01" w:rsidP="00C53C4B">
      <w:pPr>
        <w:spacing w:line="276" w:lineRule="auto"/>
        <w:rPr>
          <w:rFonts w:asciiTheme="majorHAnsi" w:hAnsiTheme="majorHAnsi" w:cstheme="majorHAnsi"/>
        </w:rPr>
      </w:pPr>
      <w:r w:rsidRPr="00684A01">
        <w:rPr>
          <w:rFonts w:asciiTheme="majorHAnsi" w:hAnsiTheme="majorHAnsi" w:cstheme="majorHAnsi"/>
        </w:rPr>
        <w:t xml:space="preserve">Third Vice Chair, Associations – </w:t>
      </w:r>
      <w:r w:rsidRPr="00387A00">
        <w:rPr>
          <w:rFonts w:asciiTheme="majorHAnsi" w:hAnsiTheme="majorHAnsi" w:cstheme="majorHAnsi"/>
          <w:b/>
        </w:rPr>
        <w:t>Melissa Van Dyke</w:t>
      </w:r>
      <w:r w:rsidRPr="00684A01">
        <w:rPr>
          <w:rFonts w:asciiTheme="majorHAnsi" w:hAnsiTheme="majorHAnsi" w:cstheme="majorHAnsi"/>
        </w:rPr>
        <w:t xml:space="preserve">, </w:t>
      </w:r>
      <w:r>
        <w:rPr>
          <w:rFonts w:asciiTheme="majorHAnsi" w:hAnsiTheme="majorHAnsi" w:cstheme="majorHAnsi"/>
        </w:rPr>
        <w:t>President. The Incentive Research Foundation</w:t>
      </w:r>
    </w:p>
    <w:p w:rsidR="00684A01" w:rsidRPr="00684A01" w:rsidRDefault="00684A01" w:rsidP="00C53C4B">
      <w:pPr>
        <w:spacing w:line="276" w:lineRule="auto"/>
        <w:rPr>
          <w:rFonts w:asciiTheme="majorHAnsi" w:hAnsiTheme="majorHAnsi" w:cstheme="majorHAnsi"/>
        </w:rPr>
      </w:pPr>
      <w:r w:rsidRPr="00684A01">
        <w:rPr>
          <w:rFonts w:asciiTheme="majorHAnsi" w:hAnsiTheme="majorHAnsi" w:cstheme="majorHAnsi"/>
        </w:rPr>
        <w:t xml:space="preserve">Vice Chair, Corporations – </w:t>
      </w:r>
      <w:r w:rsidRPr="00387A00">
        <w:rPr>
          <w:rFonts w:asciiTheme="majorHAnsi" w:hAnsiTheme="majorHAnsi" w:cstheme="majorHAnsi"/>
          <w:b/>
        </w:rPr>
        <w:t>Michelle Smith</w:t>
      </w:r>
      <w:r w:rsidRPr="00684A01">
        <w:rPr>
          <w:rFonts w:asciiTheme="majorHAnsi" w:hAnsiTheme="majorHAnsi" w:cstheme="majorHAnsi"/>
        </w:rPr>
        <w:t xml:space="preserve">, </w:t>
      </w:r>
      <w:r w:rsidR="00A176E5">
        <w:rPr>
          <w:rFonts w:asciiTheme="majorHAnsi" w:hAnsiTheme="majorHAnsi" w:cstheme="majorHAnsi"/>
        </w:rPr>
        <w:t xml:space="preserve">CRP, CPIM, </w:t>
      </w:r>
      <w:r>
        <w:rPr>
          <w:rFonts w:asciiTheme="majorHAnsi" w:hAnsiTheme="majorHAnsi" w:cstheme="majorHAnsi"/>
        </w:rPr>
        <w:t xml:space="preserve">Vice President, </w:t>
      </w:r>
      <w:r w:rsidR="00A176E5">
        <w:rPr>
          <w:rFonts w:asciiTheme="majorHAnsi" w:hAnsiTheme="majorHAnsi" w:cstheme="majorHAnsi"/>
        </w:rPr>
        <w:t>Marketing</w:t>
      </w:r>
      <w:r>
        <w:rPr>
          <w:rFonts w:asciiTheme="majorHAnsi" w:hAnsiTheme="majorHAnsi" w:cstheme="majorHAnsi"/>
        </w:rPr>
        <w:t xml:space="preserve">, </w:t>
      </w:r>
      <w:r w:rsidRPr="00684A01">
        <w:rPr>
          <w:rFonts w:asciiTheme="majorHAnsi" w:hAnsiTheme="majorHAnsi" w:cstheme="majorHAnsi"/>
        </w:rPr>
        <w:t>O.C. Tanner</w:t>
      </w:r>
    </w:p>
    <w:p w:rsidR="00684A01" w:rsidRPr="00684A01" w:rsidRDefault="00684A01" w:rsidP="00C53C4B">
      <w:pPr>
        <w:spacing w:line="276" w:lineRule="auto"/>
        <w:rPr>
          <w:rFonts w:asciiTheme="majorHAnsi" w:hAnsiTheme="majorHAnsi" w:cstheme="majorHAnsi"/>
        </w:rPr>
      </w:pPr>
      <w:r w:rsidRPr="00684A01">
        <w:rPr>
          <w:rFonts w:asciiTheme="majorHAnsi" w:hAnsiTheme="majorHAnsi" w:cstheme="majorHAnsi"/>
        </w:rPr>
        <w:t xml:space="preserve">Treasurer – </w:t>
      </w:r>
      <w:r w:rsidRPr="00387A00">
        <w:rPr>
          <w:rFonts w:asciiTheme="majorHAnsi" w:hAnsiTheme="majorHAnsi" w:cstheme="majorHAnsi"/>
          <w:b/>
        </w:rPr>
        <w:t>Sean Roark</w:t>
      </w:r>
      <w:r w:rsidRPr="00684A01">
        <w:rPr>
          <w:rFonts w:asciiTheme="majorHAnsi" w:hAnsiTheme="majorHAnsi" w:cstheme="majorHAnsi"/>
        </w:rPr>
        <w:t xml:space="preserve">, </w:t>
      </w:r>
      <w:r w:rsidR="00A176E5">
        <w:rPr>
          <w:rFonts w:asciiTheme="majorHAnsi" w:hAnsiTheme="majorHAnsi" w:cstheme="majorHAnsi"/>
        </w:rPr>
        <w:t xml:space="preserve">CPIM, </w:t>
      </w:r>
      <w:r>
        <w:rPr>
          <w:rFonts w:asciiTheme="majorHAnsi" w:hAnsiTheme="majorHAnsi" w:cstheme="majorHAnsi"/>
        </w:rPr>
        <w:t xml:space="preserve">Senior Vice President, </w:t>
      </w:r>
      <w:r w:rsidRPr="00684A01">
        <w:rPr>
          <w:rFonts w:asciiTheme="majorHAnsi" w:hAnsiTheme="majorHAnsi" w:cstheme="majorHAnsi"/>
        </w:rPr>
        <w:t>IncentPros, Inc.</w:t>
      </w:r>
    </w:p>
    <w:p w:rsidR="00684A01" w:rsidRDefault="00684A01" w:rsidP="00C53C4B">
      <w:pPr>
        <w:spacing w:line="276" w:lineRule="auto"/>
        <w:rPr>
          <w:rFonts w:asciiTheme="majorHAnsi" w:hAnsiTheme="majorHAnsi" w:cstheme="majorHAnsi"/>
        </w:rPr>
      </w:pPr>
      <w:r w:rsidRPr="00684A01">
        <w:rPr>
          <w:rFonts w:asciiTheme="majorHAnsi" w:hAnsiTheme="majorHAnsi" w:cstheme="majorHAnsi"/>
        </w:rPr>
        <w:t xml:space="preserve">Secretary – </w:t>
      </w:r>
      <w:r w:rsidRPr="00387A00">
        <w:rPr>
          <w:rFonts w:asciiTheme="majorHAnsi" w:hAnsiTheme="majorHAnsi" w:cstheme="majorHAnsi"/>
          <w:b/>
        </w:rPr>
        <w:t>Kimberly Carrette</w:t>
      </w:r>
      <w:r w:rsidRPr="00684A01">
        <w:rPr>
          <w:rFonts w:asciiTheme="majorHAnsi" w:hAnsiTheme="majorHAnsi" w:cstheme="majorHAnsi"/>
        </w:rPr>
        <w:t xml:space="preserve">, </w:t>
      </w:r>
      <w:r w:rsidR="006237F4">
        <w:rPr>
          <w:rFonts w:asciiTheme="majorHAnsi" w:hAnsiTheme="majorHAnsi" w:cstheme="majorHAnsi"/>
        </w:rPr>
        <w:t xml:space="preserve">Senior </w:t>
      </w:r>
      <w:r w:rsidR="002C6786">
        <w:rPr>
          <w:rFonts w:asciiTheme="majorHAnsi" w:hAnsiTheme="majorHAnsi" w:cstheme="majorHAnsi"/>
        </w:rPr>
        <w:t xml:space="preserve">Manager, </w:t>
      </w:r>
      <w:r w:rsidR="006237F4">
        <w:rPr>
          <w:rFonts w:asciiTheme="majorHAnsi" w:hAnsiTheme="majorHAnsi" w:cstheme="majorHAnsi"/>
        </w:rPr>
        <w:t xml:space="preserve">Canon Professional Services, </w:t>
      </w:r>
      <w:r w:rsidRPr="00684A01">
        <w:rPr>
          <w:rFonts w:asciiTheme="majorHAnsi" w:hAnsiTheme="majorHAnsi" w:cstheme="majorHAnsi"/>
        </w:rPr>
        <w:t>CanonUSA</w:t>
      </w:r>
    </w:p>
    <w:p w:rsidR="00A176E5" w:rsidRDefault="00A176E5" w:rsidP="00C53C4B">
      <w:pPr>
        <w:spacing w:line="276" w:lineRule="auto"/>
        <w:rPr>
          <w:rFonts w:asciiTheme="majorHAnsi" w:hAnsiTheme="majorHAnsi" w:cstheme="majorHAnsi"/>
        </w:rPr>
      </w:pPr>
      <w:r>
        <w:rPr>
          <w:rFonts w:asciiTheme="majorHAnsi" w:hAnsiTheme="majorHAnsi" w:cstheme="majorHAnsi"/>
        </w:rPr>
        <w:t xml:space="preserve">Director - </w:t>
      </w:r>
      <w:r w:rsidRPr="006769F5">
        <w:rPr>
          <w:rFonts w:ascii="Arial" w:hAnsi="Arial" w:cs="Arial"/>
          <w:b/>
          <w:color w:val="000000"/>
          <w:shd w:val="clear" w:color="auto" w:fill="FFFFFF"/>
        </w:rPr>
        <w:t>Richard Blabolil</w:t>
      </w:r>
      <w:r w:rsidRPr="00A176E5">
        <w:rPr>
          <w:rFonts w:ascii="Arial" w:hAnsi="Arial" w:cs="Arial"/>
          <w:color w:val="000000"/>
          <w:shd w:val="clear" w:color="auto" w:fill="FFFFFF"/>
        </w:rPr>
        <w:t xml:space="preserve">, </w:t>
      </w:r>
      <w:r>
        <w:rPr>
          <w:rFonts w:ascii="Arial" w:hAnsi="Arial" w:cs="Arial"/>
          <w:color w:val="000000"/>
          <w:shd w:val="clear" w:color="auto" w:fill="FFFFFF"/>
        </w:rPr>
        <w:t xml:space="preserve">President, </w:t>
      </w:r>
      <w:r w:rsidRPr="00A176E5">
        <w:rPr>
          <w:rFonts w:ascii="Arial" w:hAnsi="Arial" w:cs="Arial"/>
          <w:color w:val="000000"/>
          <w:shd w:val="clear" w:color="auto" w:fill="FFFFFF"/>
        </w:rPr>
        <w:t>CPIM</w:t>
      </w:r>
    </w:p>
    <w:p w:rsidR="0038535E" w:rsidRPr="00684A01" w:rsidRDefault="0038535E" w:rsidP="00C53C4B">
      <w:pPr>
        <w:spacing w:line="276" w:lineRule="auto"/>
        <w:rPr>
          <w:rFonts w:asciiTheme="majorHAnsi" w:hAnsiTheme="majorHAnsi" w:cstheme="majorHAnsi"/>
        </w:rPr>
      </w:pPr>
      <w:r>
        <w:rPr>
          <w:rFonts w:asciiTheme="majorHAnsi" w:hAnsiTheme="majorHAnsi" w:cstheme="majorHAnsi"/>
        </w:rPr>
        <w:t xml:space="preserve">Director </w:t>
      </w:r>
      <w:r w:rsidRPr="00A176E5">
        <w:rPr>
          <w:rFonts w:asciiTheme="majorHAnsi" w:hAnsiTheme="majorHAnsi" w:cstheme="majorHAnsi"/>
          <w:b/>
        </w:rPr>
        <w:t>– Brian Galonek</w:t>
      </w:r>
      <w:r>
        <w:rPr>
          <w:rFonts w:asciiTheme="majorHAnsi" w:hAnsiTheme="majorHAnsi" w:cstheme="majorHAnsi"/>
        </w:rPr>
        <w:t>,</w:t>
      </w:r>
      <w:r w:rsidR="00A176E5">
        <w:rPr>
          <w:rFonts w:asciiTheme="majorHAnsi" w:hAnsiTheme="majorHAnsi" w:cstheme="majorHAnsi"/>
        </w:rPr>
        <w:t xml:space="preserve"> CPIM,</w:t>
      </w:r>
      <w:r>
        <w:rPr>
          <w:rFonts w:asciiTheme="majorHAnsi" w:hAnsiTheme="majorHAnsi" w:cstheme="majorHAnsi"/>
        </w:rPr>
        <w:t xml:space="preserve"> </w:t>
      </w:r>
      <w:r w:rsidR="00A176E5">
        <w:rPr>
          <w:rFonts w:asciiTheme="majorHAnsi" w:hAnsiTheme="majorHAnsi" w:cstheme="majorHAnsi"/>
        </w:rPr>
        <w:t xml:space="preserve">President, </w:t>
      </w:r>
      <w:r>
        <w:rPr>
          <w:rFonts w:asciiTheme="majorHAnsi" w:hAnsiTheme="majorHAnsi" w:cstheme="majorHAnsi"/>
        </w:rPr>
        <w:t xml:space="preserve">All Star </w:t>
      </w:r>
      <w:r w:rsidR="00A176E5">
        <w:rPr>
          <w:rFonts w:asciiTheme="majorHAnsi" w:hAnsiTheme="majorHAnsi" w:cstheme="majorHAnsi"/>
        </w:rPr>
        <w:t>Incentive Marketing</w:t>
      </w:r>
    </w:p>
    <w:p w:rsidR="00684A01" w:rsidRPr="00684A01" w:rsidRDefault="00684A01" w:rsidP="00C53C4B">
      <w:pPr>
        <w:spacing w:line="276" w:lineRule="auto"/>
        <w:rPr>
          <w:rFonts w:asciiTheme="majorHAnsi" w:hAnsiTheme="majorHAnsi" w:cstheme="majorHAnsi"/>
        </w:rPr>
      </w:pPr>
      <w:r w:rsidRPr="00684A01">
        <w:rPr>
          <w:rFonts w:asciiTheme="majorHAnsi" w:hAnsiTheme="majorHAnsi" w:cstheme="majorHAnsi"/>
        </w:rPr>
        <w:t xml:space="preserve">Director – </w:t>
      </w:r>
      <w:r w:rsidRPr="00387A00">
        <w:rPr>
          <w:rFonts w:asciiTheme="majorHAnsi" w:hAnsiTheme="majorHAnsi" w:cstheme="majorHAnsi"/>
          <w:b/>
        </w:rPr>
        <w:t>Kimberly Abel-Lanier</w:t>
      </w:r>
      <w:r w:rsidRPr="00684A01">
        <w:rPr>
          <w:rFonts w:asciiTheme="majorHAnsi" w:hAnsiTheme="majorHAnsi" w:cstheme="majorHAnsi"/>
        </w:rPr>
        <w:t xml:space="preserve">, </w:t>
      </w:r>
      <w:r w:rsidR="006769F5">
        <w:rPr>
          <w:rFonts w:asciiTheme="majorHAnsi" w:hAnsiTheme="majorHAnsi" w:cstheme="majorHAnsi"/>
        </w:rPr>
        <w:t>Vice President and General Manager, CultureNext</w:t>
      </w:r>
      <w:r w:rsidR="002C6786">
        <w:rPr>
          <w:rFonts w:asciiTheme="majorHAnsi" w:hAnsiTheme="majorHAnsi" w:cstheme="majorHAnsi"/>
        </w:rPr>
        <w:t xml:space="preserve">, </w:t>
      </w:r>
      <w:r w:rsidRPr="00684A01">
        <w:rPr>
          <w:rFonts w:asciiTheme="majorHAnsi" w:hAnsiTheme="majorHAnsi" w:cstheme="majorHAnsi"/>
        </w:rPr>
        <w:t>Maritz Motivation Solutions</w:t>
      </w:r>
    </w:p>
    <w:p w:rsidR="00684A01" w:rsidRDefault="00684A01" w:rsidP="00C53C4B">
      <w:pPr>
        <w:spacing w:line="276" w:lineRule="auto"/>
        <w:rPr>
          <w:rFonts w:asciiTheme="majorHAnsi" w:hAnsiTheme="majorHAnsi" w:cstheme="majorHAnsi"/>
        </w:rPr>
      </w:pPr>
      <w:r w:rsidRPr="00684A01">
        <w:rPr>
          <w:rFonts w:asciiTheme="majorHAnsi" w:hAnsiTheme="majorHAnsi" w:cstheme="majorHAnsi"/>
        </w:rPr>
        <w:t xml:space="preserve">Director – </w:t>
      </w:r>
      <w:r w:rsidRPr="00387A00">
        <w:rPr>
          <w:rFonts w:asciiTheme="majorHAnsi" w:hAnsiTheme="majorHAnsi" w:cstheme="majorHAnsi"/>
          <w:b/>
        </w:rPr>
        <w:t>Peter Hart</w:t>
      </w:r>
      <w:r w:rsidRPr="00684A01">
        <w:rPr>
          <w:rFonts w:asciiTheme="majorHAnsi" w:hAnsiTheme="majorHAnsi" w:cstheme="majorHAnsi"/>
        </w:rPr>
        <w:t xml:space="preserve">, </w:t>
      </w:r>
      <w:r w:rsidR="00A176E5">
        <w:rPr>
          <w:rFonts w:asciiTheme="majorHAnsi" w:hAnsiTheme="majorHAnsi" w:cstheme="majorHAnsi"/>
        </w:rPr>
        <w:t xml:space="preserve">CRP, </w:t>
      </w:r>
      <w:r w:rsidR="002C6786">
        <w:rPr>
          <w:rFonts w:asciiTheme="majorHAnsi" w:hAnsiTheme="majorHAnsi" w:cstheme="majorHAnsi"/>
        </w:rPr>
        <w:t xml:space="preserve">CEO, </w:t>
      </w:r>
      <w:r w:rsidRPr="00684A01">
        <w:rPr>
          <w:rFonts w:asciiTheme="majorHAnsi" w:hAnsiTheme="majorHAnsi" w:cstheme="majorHAnsi"/>
        </w:rPr>
        <w:t>Rideau Recognition Solutions</w:t>
      </w:r>
    </w:p>
    <w:p w:rsidR="00FE1C30" w:rsidRDefault="00FE1C30" w:rsidP="00C53C4B">
      <w:pPr>
        <w:spacing w:line="276" w:lineRule="auto"/>
        <w:rPr>
          <w:rFonts w:asciiTheme="majorHAnsi" w:hAnsiTheme="majorHAnsi" w:cstheme="majorHAnsi"/>
        </w:rPr>
      </w:pPr>
      <w:r>
        <w:rPr>
          <w:rFonts w:asciiTheme="majorHAnsi" w:hAnsiTheme="majorHAnsi" w:cstheme="majorHAnsi"/>
        </w:rPr>
        <w:t xml:space="preserve">Executive Director </w:t>
      </w:r>
      <w:r w:rsidR="00387A00">
        <w:rPr>
          <w:rFonts w:asciiTheme="majorHAnsi" w:hAnsiTheme="majorHAnsi" w:cstheme="majorHAnsi"/>
        </w:rPr>
        <w:t>and Counsel</w:t>
      </w:r>
      <w:r w:rsidR="00260D0C">
        <w:rPr>
          <w:rFonts w:asciiTheme="majorHAnsi" w:hAnsiTheme="majorHAnsi" w:cstheme="majorHAnsi"/>
        </w:rPr>
        <w:t xml:space="preserve"> </w:t>
      </w:r>
      <w:r>
        <w:rPr>
          <w:rFonts w:asciiTheme="majorHAnsi" w:hAnsiTheme="majorHAnsi" w:cstheme="majorHAnsi"/>
        </w:rPr>
        <w:t xml:space="preserve">– </w:t>
      </w:r>
      <w:r w:rsidRPr="00387A00">
        <w:rPr>
          <w:rFonts w:asciiTheme="majorHAnsi" w:hAnsiTheme="majorHAnsi" w:cstheme="majorHAnsi"/>
          <w:b/>
        </w:rPr>
        <w:t>George Delta</w:t>
      </w:r>
      <w:r w:rsidR="00387A00">
        <w:rPr>
          <w:rFonts w:asciiTheme="majorHAnsi" w:hAnsiTheme="majorHAnsi" w:cstheme="majorHAnsi"/>
        </w:rPr>
        <w:t>, Esquire</w:t>
      </w:r>
    </w:p>
    <w:p w:rsidR="006769F5" w:rsidRDefault="006769F5" w:rsidP="00401523">
      <w:pPr>
        <w:rPr>
          <w:rFonts w:asciiTheme="majorHAnsi" w:hAnsiTheme="majorHAnsi" w:cstheme="majorHAnsi"/>
        </w:rPr>
      </w:pPr>
    </w:p>
    <w:p w:rsidR="006769F5" w:rsidRDefault="006769F5" w:rsidP="00401523">
      <w:pPr>
        <w:rPr>
          <w:rFonts w:asciiTheme="majorHAnsi" w:hAnsiTheme="majorHAnsi" w:cstheme="majorHAnsi"/>
        </w:rPr>
      </w:pPr>
      <w:r>
        <w:rPr>
          <w:rFonts w:asciiTheme="majorHAnsi" w:hAnsiTheme="majorHAnsi" w:cstheme="majorHAnsi"/>
        </w:rPr>
        <w:t>Staff:</w:t>
      </w:r>
    </w:p>
    <w:p w:rsidR="006769F5" w:rsidRPr="00684A01" w:rsidRDefault="006769F5" w:rsidP="00401523">
      <w:pPr>
        <w:rPr>
          <w:rFonts w:asciiTheme="majorHAnsi" w:hAnsiTheme="majorHAnsi" w:cstheme="majorHAnsi"/>
        </w:rPr>
      </w:pPr>
      <w:r>
        <w:rPr>
          <w:rFonts w:asciiTheme="majorHAnsi" w:hAnsiTheme="majorHAnsi" w:cstheme="majorHAnsi"/>
        </w:rPr>
        <w:t>Managing Director</w:t>
      </w:r>
      <w:r w:rsidR="00260D0C">
        <w:rPr>
          <w:rFonts w:asciiTheme="majorHAnsi" w:hAnsiTheme="majorHAnsi" w:cstheme="majorHAnsi"/>
        </w:rPr>
        <w:t xml:space="preserve"> -</w:t>
      </w:r>
      <w:r>
        <w:rPr>
          <w:rFonts w:asciiTheme="majorHAnsi" w:hAnsiTheme="majorHAnsi" w:cstheme="majorHAnsi"/>
        </w:rPr>
        <w:t xml:space="preserve"> </w:t>
      </w:r>
      <w:r w:rsidRPr="00B10F3A">
        <w:rPr>
          <w:rFonts w:asciiTheme="majorHAnsi" w:hAnsiTheme="majorHAnsi" w:cstheme="majorHAnsi"/>
          <w:b/>
        </w:rPr>
        <w:t>Steve Slagle</w:t>
      </w:r>
      <w:r>
        <w:rPr>
          <w:rFonts w:asciiTheme="majorHAnsi" w:hAnsiTheme="majorHAnsi" w:cstheme="majorHAnsi"/>
        </w:rPr>
        <w:t xml:space="preserve">, CAE </w:t>
      </w:r>
    </w:p>
    <w:p w:rsidR="000D1396" w:rsidRDefault="00401523" w:rsidP="00401523">
      <w:pPr>
        <w:tabs>
          <w:tab w:val="left" w:pos="1740"/>
        </w:tabs>
      </w:pPr>
      <w:r>
        <w:tab/>
      </w:r>
    </w:p>
    <w:p w:rsidR="000238A2" w:rsidRDefault="00910A7F" w:rsidP="00A236FF">
      <w:pPr>
        <w:rPr>
          <w:rFonts w:asciiTheme="majorHAnsi" w:hAnsiTheme="majorHAnsi" w:cstheme="majorHAnsi"/>
          <w:b/>
          <w:color w:val="95441D" w:themeColor="text2" w:themeTint="BF"/>
          <w:sz w:val="24"/>
          <w:szCs w:val="24"/>
        </w:rPr>
      </w:pPr>
      <w:r w:rsidRPr="00212FBB">
        <w:rPr>
          <w:rFonts w:asciiTheme="majorHAnsi" w:hAnsiTheme="majorHAnsi" w:cstheme="majorHAnsi"/>
          <w:b/>
          <w:color w:val="95441D" w:themeColor="text2" w:themeTint="BF"/>
          <w:sz w:val="24"/>
          <w:szCs w:val="24"/>
        </w:rPr>
        <w:t>Questions, Concerns, Requests</w:t>
      </w:r>
    </w:p>
    <w:p w:rsidR="00A236FF" w:rsidRPr="00212FBB" w:rsidRDefault="00A236FF" w:rsidP="00A236FF">
      <w:pPr>
        <w:rPr>
          <w:rFonts w:asciiTheme="majorHAnsi" w:hAnsiTheme="majorHAnsi" w:cstheme="majorHAnsi"/>
          <w:b/>
          <w:color w:val="95441D" w:themeColor="text2" w:themeTint="BF"/>
          <w:sz w:val="24"/>
          <w:szCs w:val="24"/>
        </w:rPr>
      </w:pPr>
    </w:p>
    <w:p w:rsidR="00C53C4B" w:rsidRDefault="00910A7F" w:rsidP="00C53C4B">
      <w:pPr>
        <w:spacing w:line="276" w:lineRule="auto"/>
        <w:rPr>
          <w:rFonts w:asciiTheme="majorHAnsi" w:hAnsiTheme="majorHAnsi" w:cstheme="majorHAnsi"/>
        </w:rPr>
      </w:pPr>
      <w:r>
        <w:rPr>
          <w:rFonts w:asciiTheme="majorHAnsi" w:hAnsiTheme="majorHAnsi" w:cstheme="majorHAnsi"/>
        </w:rPr>
        <w:t xml:space="preserve">Please contact the Federation if you have any questions or learn of any issues you believe the Federation should be aware of. Since the Federation’s founding in 1984, its effectiveness in representing and protecting the industry with one voice has only been made possible through the financial support and active participation of industry organizations and companies. </w:t>
      </w:r>
    </w:p>
    <w:p w:rsidR="00747FA8" w:rsidRDefault="00747FA8" w:rsidP="00C53C4B">
      <w:pPr>
        <w:spacing w:line="276" w:lineRule="auto"/>
        <w:rPr>
          <w:rFonts w:asciiTheme="majorHAnsi" w:hAnsiTheme="majorHAnsi" w:cstheme="majorHAnsi"/>
        </w:rPr>
      </w:pPr>
    </w:p>
    <w:p w:rsidR="003836AD" w:rsidRPr="00910A7F" w:rsidRDefault="00D605DC" w:rsidP="00C53C4B">
      <w:pPr>
        <w:spacing w:line="276" w:lineRule="auto"/>
        <w:rPr>
          <w:rFonts w:asciiTheme="majorHAnsi" w:hAnsiTheme="majorHAnsi" w:cstheme="majorHAnsi"/>
        </w:rPr>
      </w:pPr>
      <w:r>
        <w:rPr>
          <w:rFonts w:asciiTheme="majorHAnsi" w:hAnsiTheme="majorHAnsi" w:cstheme="majorHAnsi"/>
        </w:rPr>
        <w:t xml:space="preserve">Contact: Steve Slagle, </w:t>
      </w:r>
      <w:r w:rsidR="007462B7">
        <w:rPr>
          <w:rFonts w:asciiTheme="majorHAnsi" w:hAnsiTheme="majorHAnsi" w:cstheme="majorHAnsi"/>
        </w:rPr>
        <w:t xml:space="preserve">IFI </w:t>
      </w:r>
      <w:r>
        <w:rPr>
          <w:rFonts w:asciiTheme="majorHAnsi" w:hAnsiTheme="majorHAnsi" w:cstheme="majorHAnsi"/>
        </w:rPr>
        <w:t>Managing Director</w:t>
      </w:r>
      <w:r w:rsidR="007462B7">
        <w:rPr>
          <w:rFonts w:asciiTheme="majorHAnsi" w:hAnsiTheme="majorHAnsi" w:cstheme="majorHAnsi"/>
        </w:rPr>
        <w:t>,</w:t>
      </w:r>
      <w:r>
        <w:rPr>
          <w:rFonts w:asciiTheme="majorHAnsi" w:hAnsiTheme="majorHAnsi" w:cstheme="majorHAnsi"/>
        </w:rPr>
        <w:t xml:space="preserve"> </w:t>
      </w:r>
      <w:r w:rsidRPr="00A730C4">
        <w:rPr>
          <w:rFonts w:asciiTheme="majorHAnsi" w:hAnsiTheme="majorHAnsi" w:cstheme="majorHAnsi"/>
          <w:color w:val="95441D" w:themeColor="text2" w:themeTint="BF"/>
        </w:rPr>
        <w:t xml:space="preserve">at </w:t>
      </w:r>
      <w:hyperlink r:id="rId14" w:history="1">
        <w:r w:rsidR="007462B7" w:rsidRPr="00A730C4">
          <w:rPr>
            <w:rStyle w:val="Hyperlink"/>
            <w:rFonts w:asciiTheme="majorHAnsi" w:hAnsiTheme="majorHAnsi" w:cstheme="majorHAnsi"/>
            <w:color w:val="95441D" w:themeColor="text2" w:themeTint="BF"/>
          </w:rPr>
          <w:t>steves3309@gmail.com</w:t>
        </w:r>
      </w:hyperlink>
      <w:r w:rsidR="002650E2">
        <w:rPr>
          <w:rFonts w:asciiTheme="majorHAnsi" w:hAnsiTheme="majorHAnsi" w:cstheme="majorHAnsi"/>
        </w:rPr>
        <w:t xml:space="preserve"> or 864-710-6739.</w:t>
      </w:r>
    </w:p>
    <w:sectPr w:rsidR="003836AD" w:rsidRPr="00910A7F">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501" w:rsidRDefault="00FF5501">
      <w:r>
        <w:separator/>
      </w:r>
    </w:p>
  </w:endnote>
  <w:endnote w:type="continuationSeparator" w:id="0">
    <w:p w:rsidR="00FF5501" w:rsidRDefault="00FF5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501" w:rsidRDefault="00FF5501">
      <w:r>
        <w:separator/>
      </w:r>
    </w:p>
  </w:footnote>
  <w:footnote w:type="continuationSeparator" w:id="0">
    <w:p w:rsidR="00FF5501" w:rsidRDefault="00FF55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5E0330"/>
    <w:multiLevelType w:val="hybridMultilevel"/>
    <w:tmpl w:val="85882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153043"/>
    <w:multiLevelType w:val="multilevel"/>
    <w:tmpl w:val="79F2D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826"/>
    <w:rsid w:val="000018C5"/>
    <w:rsid w:val="00015A69"/>
    <w:rsid w:val="00017A4B"/>
    <w:rsid w:val="000238A2"/>
    <w:rsid w:val="000364EF"/>
    <w:rsid w:val="000467DF"/>
    <w:rsid w:val="000511E6"/>
    <w:rsid w:val="0008445B"/>
    <w:rsid w:val="000B47FF"/>
    <w:rsid w:val="000C6556"/>
    <w:rsid w:val="000D06CD"/>
    <w:rsid w:val="000D1396"/>
    <w:rsid w:val="000F6A89"/>
    <w:rsid w:val="0011361C"/>
    <w:rsid w:val="00115A80"/>
    <w:rsid w:val="0013193B"/>
    <w:rsid w:val="001663AF"/>
    <w:rsid w:val="001872A2"/>
    <w:rsid w:val="001E04BB"/>
    <w:rsid w:val="001E2353"/>
    <w:rsid w:val="00212FBB"/>
    <w:rsid w:val="00224F67"/>
    <w:rsid w:val="00260D0C"/>
    <w:rsid w:val="002650E2"/>
    <w:rsid w:val="00295BD8"/>
    <w:rsid w:val="002B1396"/>
    <w:rsid w:val="002C6786"/>
    <w:rsid w:val="002D3945"/>
    <w:rsid w:val="002F2855"/>
    <w:rsid w:val="003177A2"/>
    <w:rsid w:val="003836AD"/>
    <w:rsid w:val="0038535E"/>
    <w:rsid w:val="00387A00"/>
    <w:rsid w:val="003E54EB"/>
    <w:rsid w:val="00401523"/>
    <w:rsid w:val="004058D2"/>
    <w:rsid w:val="00420F9D"/>
    <w:rsid w:val="004241D4"/>
    <w:rsid w:val="00426B51"/>
    <w:rsid w:val="00442154"/>
    <w:rsid w:val="00475B24"/>
    <w:rsid w:val="00476317"/>
    <w:rsid w:val="004B26CC"/>
    <w:rsid w:val="004D6C52"/>
    <w:rsid w:val="005127F9"/>
    <w:rsid w:val="00523ECD"/>
    <w:rsid w:val="005C321E"/>
    <w:rsid w:val="005F3C73"/>
    <w:rsid w:val="006225B1"/>
    <w:rsid w:val="006237F4"/>
    <w:rsid w:val="006769F5"/>
    <w:rsid w:val="00684A01"/>
    <w:rsid w:val="006F3307"/>
    <w:rsid w:val="007462B7"/>
    <w:rsid w:val="00747FA8"/>
    <w:rsid w:val="00751530"/>
    <w:rsid w:val="00775BD1"/>
    <w:rsid w:val="0077658D"/>
    <w:rsid w:val="0079216E"/>
    <w:rsid w:val="00797317"/>
    <w:rsid w:val="007C11C9"/>
    <w:rsid w:val="007C7E68"/>
    <w:rsid w:val="007D6BEF"/>
    <w:rsid w:val="007E64D5"/>
    <w:rsid w:val="007F27D0"/>
    <w:rsid w:val="00804D1B"/>
    <w:rsid w:val="008504FB"/>
    <w:rsid w:val="008956E6"/>
    <w:rsid w:val="008A4A80"/>
    <w:rsid w:val="008B254D"/>
    <w:rsid w:val="008F671F"/>
    <w:rsid w:val="00910A7F"/>
    <w:rsid w:val="00927680"/>
    <w:rsid w:val="009C1CC2"/>
    <w:rsid w:val="00A00C5A"/>
    <w:rsid w:val="00A059A0"/>
    <w:rsid w:val="00A176E5"/>
    <w:rsid w:val="00A209F2"/>
    <w:rsid w:val="00A236FF"/>
    <w:rsid w:val="00A620D1"/>
    <w:rsid w:val="00A623BC"/>
    <w:rsid w:val="00A66A12"/>
    <w:rsid w:val="00A730C4"/>
    <w:rsid w:val="00A80826"/>
    <w:rsid w:val="00A82319"/>
    <w:rsid w:val="00AA3BD0"/>
    <w:rsid w:val="00AC0ABB"/>
    <w:rsid w:val="00AE171D"/>
    <w:rsid w:val="00B10F3A"/>
    <w:rsid w:val="00B430C3"/>
    <w:rsid w:val="00B75267"/>
    <w:rsid w:val="00B84F3A"/>
    <w:rsid w:val="00BA0497"/>
    <w:rsid w:val="00BA0A22"/>
    <w:rsid w:val="00BB6673"/>
    <w:rsid w:val="00BC6B81"/>
    <w:rsid w:val="00BD05A2"/>
    <w:rsid w:val="00BE0D3E"/>
    <w:rsid w:val="00C50E0D"/>
    <w:rsid w:val="00C53C4B"/>
    <w:rsid w:val="00CC4D55"/>
    <w:rsid w:val="00D458DD"/>
    <w:rsid w:val="00D46161"/>
    <w:rsid w:val="00D605DC"/>
    <w:rsid w:val="00D6208A"/>
    <w:rsid w:val="00D7088B"/>
    <w:rsid w:val="00D70909"/>
    <w:rsid w:val="00D929AA"/>
    <w:rsid w:val="00D94740"/>
    <w:rsid w:val="00DA1DD8"/>
    <w:rsid w:val="00DC1155"/>
    <w:rsid w:val="00E6150D"/>
    <w:rsid w:val="00E97080"/>
    <w:rsid w:val="00F03248"/>
    <w:rsid w:val="00F1573F"/>
    <w:rsid w:val="00F31A61"/>
    <w:rsid w:val="00F6629D"/>
    <w:rsid w:val="00FD585D"/>
    <w:rsid w:val="00FE1C30"/>
    <w:rsid w:val="00FF5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F3E5F996-4AE7-4721-9A5E-34490953E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B51"/>
  </w:style>
  <w:style w:type="paragraph" w:styleId="Heading1">
    <w:name w:val="heading 1"/>
    <w:basedOn w:val="Normal"/>
    <w:next w:val="Normal"/>
    <w:link w:val="Heading1Char"/>
    <w:uiPriority w:val="9"/>
    <w:qFormat/>
    <w:rsid w:val="00426B51"/>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426B51"/>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426B51"/>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426B51"/>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426B51"/>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426B51"/>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426B51"/>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426B51"/>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426B51"/>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rsid w:val="00426B51"/>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426B51"/>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426B51"/>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26B51"/>
    <w:rPr>
      <w:rFonts w:asciiTheme="majorHAnsi" w:eastAsiaTheme="majorEastAsia" w:hAnsiTheme="majorHAnsi" w:cstheme="majorBidi"/>
      <w:sz w:val="24"/>
      <w:szCs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26B51"/>
    <w:rPr>
      <w:rFonts w:asciiTheme="majorHAnsi" w:eastAsiaTheme="majorEastAsia" w:hAnsiTheme="majorHAnsi" w:cstheme="majorBidi"/>
      <w:b/>
      <w:bCs/>
      <w:caps/>
      <w:spacing w:val="4"/>
      <w:sz w:val="28"/>
      <w:szCs w:val="28"/>
    </w:rPr>
  </w:style>
  <w:style w:type="paragraph" w:customStyle="1" w:styleId="BlockHeading">
    <w:name w:val="Block Heading"/>
    <w:basedOn w:val="Normal"/>
    <w:next w:val="BlockText"/>
    <w:uiPriority w:val="3"/>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5"/>
    <w:unhideWhenUsed/>
    <w:qFormat/>
    <w:rsid w:val="00426B51"/>
    <w:rPr>
      <w:b/>
      <w:bCs/>
      <w:sz w:val="18"/>
      <w:szCs w:val="18"/>
    </w:rPr>
  </w:style>
  <w:style w:type="paragraph" w:styleId="BlockText">
    <w:name w:val="Block Text"/>
    <w:basedOn w:val="Normal"/>
    <w:uiPriority w:val="3"/>
    <w:unhideWhenUsed/>
    <w:pPr>
      <w:spacing w:after="180" w:line="312" w:lineRule="auto"/>
      <w:ind w:left="288" w:right="288"/>
    </w:pPr>
    <w:rPr>
      <w:color w:val="FFFFFF" w:themeColor="background1"/>
    </w:rPr>
  </w:style>
  <w:style w:type="character" w:customStyle="1" w:styleId="Heading2Char">
    <w:name w:val="Heading 2 Char"/>
    <w:basedOn w:val="DefaultParagraphFont"/>
    <w:link w:val="Heading2"/>
    <w:uiPriority w:val="9"/>
    <w:rsid w:val="00426B51"/>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426B51"/>
    <w:rPr>
      <w:rFonts w:asciiTheme="majorHAnsi" w:eastAsiaTheme="majorEastAsia" w:hAnsiTheme="majorHAnsi" w:cstheme="majorBidi"/>
      <w:spacing w:val="4"/>
      <w:sz w:val="24"/>
      <w:szCs w:val="24"/>
    </w:rPr>
  </w:style>
  <w:style w:type="paragraph" w:styleId="Quote">
    <w:name w:val="Quote"/>
    <w:basedOn w:val="Normal"/>
    <w:next w:val="Normal"/>
    <w:link w:val="QuoteChar"/>
    <w:uiPriority w:val="29"/>
    <w:qFormat/>
    <w:rsid w:val="00426B5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426B51"/>
    <w:rPr>
      <w:rFonts w:asciiTheme="majorHAnsi" w:eastAsiaTheme="majorEastAsia" w:hAnsiTheme="majorHAnsi" w:cstheme="majorBidi"/>
      <w:i/>
      <w:iCs/>
      <w:sz w:val="24"/>
      <w:szCs w:val="24"/>
    </w:rPr>
  </w:style>
  <w:style w:type="character" w:customStyle="1" w:styleId="Heading4Char">
    <w:name w:val="Heading 4 Char"/>
    <w:basedOn w:val="DefaultParagraphFont"/>
    <w:link w:val="Heading4"/>
    <w:uiPriority w:val="9"/>
    <w:semiHidden/>
    <w:rsid w:val="00426B51"/>
    <w:rPr>
      <w:rFonts w:asciiTheme="majorHAnsi" w:eastAsiaTheme="majorEastAsia" w:hAnsiTheme="majorHAnsi" w:cstheme="majorBidi"/>
      <w:i/>
      <w:iCs/>
      <w:sz w:val="24"/>
      <w:szCs w:val="24"/>
    </w:rPr>
  </w:style>
  <w:style w:type="paragraph" w:customStyle="1" w:styleId="ContactInfo">
    <w:name w:val="Contact Info"/>
    <w:basedOn w:val="Normal"/>
    <w:uiPriority w:val="5"/>
  </w:style>
  <w:style w:type="paragraph" w:customStyle="1" w:styleId="ContactHeading">
    <w:name w:val="Contact Heading"/>
    <w:basedOn w:val="Normal"/>
    <w:uiPriority w:val="4"/>
    <w:pPr>
      <w:spacing w:before="320"/>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pPr>
    <w:rPr>
      <w:lang w:eastAsia="en-US"/>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rPr>
      <w:rFonts w:asciiTheme="majorHAnsi" w:eastAsiaTheme="majorEastAsia" w:hAnsiTheme="majorHAnsi" w:cstheme="majorBidi"/>
      <w:b/>
      <w:bCs/>
      <w:caps/>
      <w:color w:val="AF4E12" w:themeColor="accent1" w:themeShade="BF"/>
    </w:rPr>
  </w:style>
  <w:style w:type="character" w:customStyle="1" w:styleId="Heading5Char">
    <w:name w:val="Heading 5 Char"/>
    <w:basedOn w:val="DefaultParagraphFont"/>
    <w:link w:val="Heading5"/>
    <w:uiPriority w:val="9"/>
    <w:semiHidden/>
    <w:rsid w:val="00426B51"/>
    <w:rPr>
      <w:rFonts w:asciiTheme="majorHAnsi" w:eastAsiaTheme="majorEastAsia" w:hAnsiTheme="majorHAnsi" w:cstheme="majorBidi"/>
      <w:b/>
      <w:bCs/>
    </w:rPr>
  </w:style>
  <w:style w:type="character" w:styleId="IntenseEmphasis">
    <w:name w:val="Intense Emphasis"/>
    <w:basedOn w:val="DefaultParagraphFont"/>
    <w:uiPriority w:val="21"/>
    <w:qFormat/>
    <w:rsid w:val="00426B51"/>
    <w:rPr>
      <w:b/>
      <w:bCs/>
      <w:i/>
      <w:iCs/>
      <w:color w:val="auto"/>
    </w:rPr>
  </w:style>
  <w:style w:type="paragraph" w:styleId="IntenseQuote">
    <w:name w:val="Intense Quote"/>
    <w:basedOn w:val="Normal"/>
    <w:next w:val="Normal"/>
    <w:link w:val="IntenseQuoteChar"/>
    <w:uiPriority w:val="30"/>
    <w:qFormat/>
    <w:rsid w:val="00426B5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426B51"/>
    <w:rPr>
      <w:rFonts w:asciiTheme="majorHAnsi" w:eastAsiaTheme="majorEastAsia" w:hAnsiTheme="majorHAnsi" w:cstheme="majorBidi"/>
      <w:sz w:val="26"/>
      <w:szCs w:val="26"/>
    </w:rPr>
  </w:style>
  <w:style w:type="character" w:styleId="IntenseReference">
    <w:name w:val="Intense Reference"/>
    <w:basedOn w:val="DefaultParagraphFont"/>
    <w:uiPriority w:val="32"/>
    <w:qFormat/>
    <w:rsid w:val="00426B51"/>
    <w:rPr>
      <w:b/>
      <w:bCs/>
      <w:smallCaps/>
      <w:color w:val="auto"/>
      <w:u w:val="single"/>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rPr>
      <w:b/>
      <w:noProof/>
    </w:rPr>
  </w:style>
  <w:style w:type="character" w:styleId="Hyperlink">
    <w:name w:val="Hyperlink"/>
    <w:basedOn w:val="DefaultParagraphFont"/>
    <w:uiPriority w:val="99"/>
    <w:unhideWhenUsed/>
    <w:rsid w:val="000D1396"/>
    <w:rPr>
      <w:color w:val="3E84A3" w:themeColor="hyperlink"/>
      <w:u w:val="single"/>
    </w:rPr>
  </w:style>
  <w:style w:type="paragraph" w:styleId="NormalWeb">
    <w:name w:val="Normal (Web)"/>
    <w:basedOn w:val="Normal"/>
    <w:uiPriority w:val="99"/>
    <w:semiHidden/>
    <w:unhideWhenUsed/>
    <w:rsid w:val="000D1396"/>
    <w:pPr>
      <w:spacing w:before="100" w:beforeAutospacing="1" w:after="100" w:afterAutospacing="1"/>
    </w:pPr>
    <w:rPr>
      <w:rFonts w:ascii="Times New Roman" w:eastAsia="Times New Roman" w:hAnsi="Times New Roman" w:cs="Times New Roman"/>
      <w:sz w:val="24"/>
      <w:szCs w:val="24"/>
      <w:lang w:eastAsia="en-US"/>
    </w:rPr>
  </w:style>
  <w:style w:type="character" w:styleId="FollowedHyperlink">
    <w:name w:val="FollowedHyperlink"/>
    <w:basedOn w:val="DefaultParagraphFont"/>
    <w:uiPriority w:val="99"/>
    <w:semiHidden/>
    <w:unhideWhenUsed/>
    <w:rsid w:val="00D46161"/>
    <w:rPr>
      <w:color w:val="784869" w:themeColor="followedHyperlink"/>
      <w:u w:val="single"/>
    </w:rPr>
  </w:style>
  <w:style w:type="character" w:styleId="Strong">
    <w:name w:val="Strong"/>
    <w:basedOn w:val="DefaultParagraphFont"/>
    <w:uiPriority w:val="22"/>
    <w:qFormat/>
    <w:rsid w:val="00426B51"/>
    <w:rPr>
      <w:b/>
      <w:bCs/>
      <w:color w:val="auto"/>
    </w:rPr>
  </w:style>
  <w:style w:type="paragraph" w:styleId="NoSpacing">
    <w:name w:val="No Spacing"/>
    <w:uiPriority w:val="1"/>
    <w:qFormat/>
    <w:rsid w:val="00426B51"/>
  </w:style>
  <w:style w:type="paragraph" w:styleId="ListParagraph">
    <w:name w:val="List Paragraph"/>
    <w:basedOn w:val="Normal"/>
    <w:uiPriority w:val="34"/>
    <w:qFormat/>
    <w:rsid w:val="00D6208A"/>
    <w:pPr>
      <w:ind w:left="720"/>
      <w:contextualSpacing/>
    </w:pPr>
  </w:style>
  <w:style w:type="character" w:styleId="Emphasis">
    <w:name w:val="Emphasis"/>
    <w:basedOn w:val="DefaultParagraphFont"/>
    <w:uiPriority w:val="20"/>
    <w:qFormat/>
    <w:rsid w:val="00426B51"/>
    <w:rPr>
      <w:i/>
      <w:iCs/>
      <w:color w:val="auto"/>
    </w:rPr>
  </w:style>
  <w:style w:type="character" w:customStyle="1" w:styleId="Heading6Char">
    <w:name w:val="Heading 6 Char"/>
    <w:basedOn w:val="DefaultParagraphFont"/>
    <w:link w:val="Heading6"/>
    <w:uiPriority w:val="9"/>
    <w:semiHidden/>
    <w:rsid w:val="00426B5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426B51"/>
    <w:rPr>
      <w:i/>
      <w:iCs/>
    </w:rPr>
  </w:style>
  <w:style w:type="character" w:customStyle="1" w:styleId="Heading8Char">
    <w:name w:val="Heading 8 Char"/>
    <w:basedOn w:val="DefaultParagraphFont"/>
    <w:link w:val="Heading8"/>
    <w:uiPriority w:val="9"/>
    <w:semiHidden/>
    <w:rsid w:val="00426B51"/>
    <w:rPr>
      <w:b/>
      <w:bCs/>
    </w:rPr>
  </w:style>
  <w:style w:type="character" w:customStyle="1" w:styleId="Heading9Char">
    <w:name w:val="Heading 9 Char"/>
    <w:basedOn w:val="DefaultParagraphFont"/>
    <w:link w:val="Heading9"/>
    <w:uiPriority w:val="9"/>
    <w:semiHidden/>
    <w:rsid w:val="00426B51"/>
    <w:rPr>
      <w:i/>
      <w:iCs/>
    </w:rPr>
  </w:style>
  <w:style w:type="character" w:styleId="SubtleEmphasis">
    <w:name w:val="Subtle Emphasis"/>
    <w:basedOn w:val="DefaultParagraphFont"/>
    <w:uiPriority w:val="19"/>
    <w:qFormat/>
    <w:rsid w:val="00426B51"/>
    <w:rPr>
      <w:i/>
      <w:iCs/>
      <w:color w:val="auto"/>
    </w:rPr>
  </w:style>
  <w:style w:type="character" w:styleId="SubtleReference">
    <w:name w:val="Subtle Reference"/>
    <w:basedOn w:val="DefaultParagraphFont"/>
    <w:uiPriority w:val="31"/>
    <w:qFormat/>
    <w:rsid w:val="00426B51"/>
    <w:rPr>
      <w:smallCaps/>
      <w:color w:val="auto"/>
      <w:u w:val="single" w:color="7F7F7F" w:themeColor="text1" w:themeTint="80"/>
    </w:rPr>
  </w:style>
  <w:style w:type="character" w:styleId="BookTitle">
    <w:name w:val="Book Title"/>
    <w:basedOn w:val="DefaultParagraphFont"/>
    <w:uiPriority w:val="33"/>
    <w:qFormat/>
    <w:rsid w:val="00426B51"/>
    <w:rPr>
      <w:b/>
      <w:bCs/>
      <w:smallCaps/>
      <w:color w:val="auto"/>
    </w:rPr>
  </w:style>
  <w:style w:type="paragraph" w:styleId="TOCHeading">
    <w:name w:val="TOC Heading"/>
    <w:basedOn w:val="Heading1"/>
    <w:next w:val="Normal"/>
    <w:uiPriority w:val="39"/>
    <w:semiHidden/>
    <w:unhideWhenUsed/>
    <w:qFormat/>
    <w:rsid w:val="00426B5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94223">
      <w:bodyDiv w:val="1"/>
      <w:marLeft w:val="0"/>
      <w:marRight w:val="0"/>
      <w:marTop w:val="0"/>
      <w:marBottom w:val="0"/>
      <w:divBdr>
        <w:top w:val="none" w:sz="0" w:space="0" w:color="auto"/>
        <w:left w:val="none" w:sz="0" w:space="0" w:color="auto"/>
        <w:bottom w:val="none" w:sz="0" w:space="0" w:color="auto"/>
        <w:right w:val="none" w:sz="0" w:space="0" w:color="auto"/>
      </w:divBdr>
      <w:divsChild>
        <w:div w:id="739327037">
          <w:marLeft w:val="0"/>
          <w:marRight w:val="0"/>
          <w:marTop w:val="0"/>
          <w:marBottom w:val="0"/>
          <w:divBdr>
            <w:top w:val="none" w:sz="0" w:space="0" w:color="auto"/>
            <w:left w:val="none" w:sz="0" w:space="0" w:color="auto"/>
            <w:bottom w:val="none" w:sz="0" w:space="0" w:color="auto"/>
            <w:right w:val="none" w:sz="0" w:space="0" w:color="auto"/>
          </w:divBdr>
          <w:divsChild>
            <w:div w:id="817767721">
              <w:marLeft w:val="0"/>
              <w:marRight w:val="0"/>
              <w:marTop w:val="0"/>
              <w:marBottom w:val="0"/>
              <w:divBdr>
                <w:top w:val="none" w:sz="0" w:space="0" w:color="auto"/>
                <w:left w:val="none" w:sz="0" w:space="0" w:color="auto"/>
                <w:bottom w:val="none" w:sz="0" w:space="0" w:color="auto"/>
                <w:right w:val="none" w:sz="0" w:space="0" w:color="auto"/>
              </w:divBdr>
              <w:divsChild>
                <w:div w:id="116878975">
                  <w:marLeft w:val="0"/>
                  <w:marRight w:val="0"/>
                  <w:marTop w:val="0"/>
                  <w:marBottom w:val="0"/>
                  <w:divBdr>
                    <w:top w:val="none" w:sz="0" w:space="0" w:color="auto"/>
                    <w:left w:val="none" w:sz="0" w:space="0" w:color="auto"/>
                    <w:bottom w:val="none" w:sz="0" w:space="0" w:color="auto"/>
                    <w:right w:val="none" w:sz="0" w:space="0" w:color="auto"/>
                  </w:divBdr>
                  <w:divsChild>
                    <w:div w:id="1890216174">
                      <w:marLeft w:val="0"/>
                      <w:marRight w:val="0"/>
                      <w:marTop w:val="0"/>
                      <w:marBottom w:val="0"/>
                      <w:divBdr>
                        <w:top w:val="none" w:sz="0" w:space="0" w:color="auto"/>
                        <w:left w:val="none" w:sz="0" w:space="0" w:color="auto"/>
                        <w:bottom w:val="none" w:sz="0" w:space="0" w:color="auto"/>
                        <w:right w:val="none" w:sz="0" w:space="0" w:color="auto"/>
                      </w:divBdr>
                      <w:divsChild>
                        <w:div w:id="1136029490">
                          <w:marLeft w:val="0"/>
                          <w:marRight w:val="0"/>
                          <w:marTop w:val="0"/>
                          <w:marBottom w:val="0"/>
                          <w:divBdr>
                            <w:top w:val="none" w:sz="0" w:space="0" w:color="auto"/>
                            <w:left w:val="none" w:sz="0" w:space="0" w:color="auto"/>
                            <w:bottom w:val="none" w:sz="0" w:space="0" w:color="auto"/>
                            <w:right w:val="none" w:sz="0" w:space="0" w:color="auto"/>
                          </w:divBdr>
                          <w:divsChild>
                            <w:div w:id="1926838491">
                              <w:marLeft w:val="0"/>
                              <w:marRight w:val="0"/>
                              <w:marTop w:val="0"/>
                              <w:marBottom w:val="0"/>
                              <w:divBdr>
                                <w:top w:val="none" w:sz="0" w:space="0" w:color="auto"/>
                                <w:left w:val="none" w:sz="0" w:space="0" w:color="auto"/>
                                <w:bottom w:val="none" w:sz="0" w:space="0" w:color="auto"/>
                                <w:right w:val="none" w:sz="0" w:space="0" w:color="auto"/>
                              </w:divBdr>
                              <w:divsChild>
                                <w:div w:id="136120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9535">
      <w:bodyDiv w:val="1"/>
      <w:marLeft w:val="0"/>
      <w:marRight w:val="0"/>
      <w:marTop w:val="0"/>
      <w:marBottom w:val="0"/>
      <w:divBdr>
        <w:top w:val="none" w:sz="0" w:space="0" w:color="auto"/>
        <w:left w:val="none" w:sz="0" w:space="0" w:color="auto"/>
        <w:bottom w:val="none" w:sz="0" w:space="0" w:color="auto"/>
        <w:right w:val="none" w:sz="0" w:space="0" w:color="auto"/>
      </w:divBdr>
      <w:divsChild>
        <w:div w:id="1251693534">
          <w:marLeft w:val="0"/>
          <w:marRight w:val="0"/>
          <w:marTop w:val="0"/>
          <w:marBottom w:val="0"/>
          <w:divBdr>
            <w:top w:val="none" w:sz="0" w:space="0" w:color="auto"/>
            <w:left w:val="none" w:sz="0" w:space="0" w:color="auto"/>
            <w:bottom w:val="none" w:sz="0" w:space="0" w:color="auto"/>
            <w:right w:val="none" w:sz="0" w:space="0" w:color="auto"/>
          </w:divBdr>
          <w:divsChild>
            <w:div w:id="506793109">
              <w:marLeft w:val="0"/>
              <w:marRight w:val="60"/>
              <w:marTop w:val="0"/>
              <w:marBottom w:val="0"/>
              <w:divBdr>
                <w:top w:val="none" w:sz="0" w:space="0" w:color="auto"/>
                <w:left w:val="none" w:sz="0" w:space="0" w:color="auto"/>
                <w:bottom w:val="none" w:sz="0" w:space="0" w:color="auto"/>
                <w:right w:val="none" w:sz="0" w:space="0" w:color="auto"/>
              </w:divBdr>
              <w:divsChild>
                <w:div w:id="191300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432221">
      <w:bodyDiv w:val="1"/>
      <w:marLeft w:val="0"/>
      <w:marRight w:val="0"/>
      <w:marTop w:val="0"/>
      <w:marBottom w:val="0"/>
      <w:divBdr>
        <w:top w:val="none" w:sz="0" w:space="0" w:color="auto"/>
        <w:left w:val="none" w:sz="0" w:space="0" w:color="auto"/>
        <w:bottom w:val="none" w:sz="0" w:space="0" w:color="auto"/>
        <w:right w:val="none" w:sz="0" w:space="0" w:color="auto"/>
      </w:divBdr>
    </w:div>
    <w:div w:id="560557818">
      <w:bodyDiv w:val="1"/>
      <w:marLeft w:val="0"/>
      <w:marRight w:val="0"/>
      <w:marTop w:val="0"/>
      <w:marBottom w:val="0"/>
      <w:divBdr>
        <w:top w:val="none" w:sz="0" w:space="0" w:color="auto"/>
        <w:left w:val="none" w:sz="0" w:space="0" w:color="auto"/>
        <w:bottom w:val="none" w:sz="0" w:space="0" w:color="auto"/>
        <w:right w:val="none" w:sz="0" w:space="0" w:color="auto"/>
      </w:divBdr>
      <w:divsChild>
        <w:div w:id="1730567015">
          <w:marLeft w:val="0"/>
          <w:marRight w:val="0"/>
          <w:marTop w:val="0"/>
          <w:marBottom w:val="0"/>
          <w:divBdr>
            <w:top w:val="none" w:sz="0" w:space="0" w:color="auto"/>
            <w:left w:val="none" w:sz="0" w:space="0" w:color="auto"/>
            <w:bottom w:val="none" w:sz="0" w:space="0" w:color="auto"/>
            <w:right w:val="none" w:sz="0" w:space="0" w:color="auto"/>
          </w:divBdr>
          <w:divsChild>
            <w:div w:id="1081098236">
              <w:marLeft w:val="0"/>
              <w:marRight w:val="0"/>
              <w:marTop w:val="0"/>
              <w:marBottom w:val="0"/>
              <w:divBdr>
                <w:top w:val="none" w:sz="0" w:space="0" w:color="auto"/>
                <w:left w:val="none" w:sz="0" w:space="0" w:color="auto"/>
                <w:bottom w:val="none" w:sz="0" w:space="0" w:color="auto"/>
                <w:right w:val="none" w:sz="0" w:space="0" w:color="auto"/>
              </w:divBdr>
            </w:div>
            <w:div w:id="922570692">
              <w:marLeft w:val="0"/>
              <w:marRight w:val="0"/>
              <w:marTop w:val="0"/>
              <w:marBottom w:val="0"/>
              <w:divBdr>
                <w:top w:val="none" w:sz="0" w:space="0" w:color="auto"/>
                <w:left w:val="none" w:sz="0" w:space="0" w:color="auto"/>
                <w:bottom w:val="none" w:sz="0" w:space="0" w:color="auto"/>
                <w:right w:val="none" w:sz="0" w:space="0" w:color="auto"/>
              </w:divBdr>
            </w:div>
            <w:div w:id="61467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68550">
      <w:bodyDiv w:val="1"/>
      <w:marLeft w:val="0"/>
      <w:marRight w:val="0"/>
      <w:marTop w:val="0"/>
      <w:marBottom w:val="0"/>
      <w:divBdr>
        <w:top w:val="none" w:sz="0" w:space="0" w:color="auto"/>
        <w:left w:val="none" w:sz="0" w:space="0" w:color="auto"/>
        <w:bottom w:val="none" w:sz="0" w:space="0" w:color="auto"/>
        <w:right w:val="none" w:sz="0" w:space="0" w:color="auto"/>
      </w:divBdr>
      <w:divsChild>
        <w:div w:id="789202483">
          <w:marLeft w:val="0"/>
          <w:marRight w:val="0"/>
          <w:marTop w:val="0"/>
          <w:marBottom w:val="0"/>
          <w:divBdr>
            <w:top w:val="none" w:sz="0" w:space="0" w:color="auto"/>
            <w:left w:val="none" w:sz="0" w:space="0" w:color="auto"/>
            <w:bottom w:val="none" w:sz="0" w:space="0" w:color="auto"/>
            <w:right w:val="none" w:sz="0" w:space="0" w:color="auto"/>
          </w:divBdr>
          <w:divsChild>
            <w:div w:id="66035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62016">
      <w:bodyDiv w:val="1"/>
      <w:marLeft w:val="0"/>
      <w:marRight w:val="0"/>
      <w:marTop w:val="0"/>
      <w:marBottom w:val="0"/>
      <w:divBdr>
        <w:top w:val="none" w:sz="0" w:space="0" w:color="auto"/>
        <w:left w:val="none" w:sz="0" w:space="0" w:color="auto"/>
        <w:bottom w:val="none" w:sz="0" w:space="0" w:color="auto"/>
        <w:right w:val="none" w:sz="0" w:space="0" w:color="auto"/>
      </w:divBdr>
      <w:divsChild>
        <w:div w:id="1876189512">
          <w:marLeft w:val="0"/>
          <w:marRight w:val="0"/>
          <w:marTop w:val="0"/>
          <w:marBottom w:val="0"/>
          <w:divBdr>
            <w:top w:val="none" w:sz="0" w:space="0" w:color="auto"/>
            <w:left w:val="none" w:sz="0" w:space="0" w:color="auto"/>
            <w:bottom w:val="none" w:sz="0" w:space="0" w:color="auto"/>
            <w:right w:val="none" w:sz="0" w:space="0" w:color="auto"/>
          </w:divBdr>
          <w:divsChild>
            <w:div w:id="990059932">
              <w:marLeft w:val="0"/>
              <w:marRight w:val="0"/>
              <w:marTop w:val="0"/>
              <w:marBottom w:val="0"/>
              <w:divBdr>
                <w:top w:val="none" w:sz="0" w:space="0" w:color="auto"/>
                <w:left w:val="none" w:sz="0" w:space="0" w:color="auto"/>
                <w:bottom w:val="none" w:sz="0" w:space="0" w:color="auto"/>
                <w:right w:val="none" w:sz="0" w:space="0" w:color="auto"/>
              </w:divBdr>
              <w:divsChild>
                <w:div w:id="1317417335">
                  <w:marLeft w:val="0"/>
                  <w:marRight w:val="0"/>
                  <w:marTop w:val="0"/>
                  <w:marBottom w:val="0"/>
                  <w:divBdr>
                    <w:top w:val="none" w:sz="0" w:space="0" w:color="auto"/>
                    <w:left w:val="none" w:sz="0" w:space="0" w:color="auto"/>
                    <w:bottom w:val="none" w:sz="0" w:space="0" w:color="auto"/>
                    <w:right w:val="none" w:sz="0" w:space="0" w:color="auto"/>
                  </w:divBdr>
                  <w:divsChild>
                    <w:div w:id="288821017">
                      <w:marLeft w:val="0"/>
                      <w:marRight w:val="0"/>
                      <w:marTop w:val="0"/>
                      <w:marBottom w:val="0"/>
                      <w:divBdr>
                        <w:top w:val="none" w:sz="0" w:space="0" w:color="auto"/>
                        <w:left w:val="none" w:sz="0" w:space="0" w:color="auto"/>
                        <w:bottom w:val="none" w:sz="0" w:space="0" w:color="auto"/>
                        <w:right w:val="none" w:sz="0" w:space="0" w:color="auto"/>
                      </w:divBdr>
                      <w:divsChild>
                        <w:div w:id="1627538677">
                          <w:marLeft w:val="0"/>
                          <w:marRight w:val="0"/>
                          <w:marTop w:val="0"/>
                          <w:marBottom w:val="0"/>
                          <w:divBdr>
                            <w:top w:val="none" w:sz="0" w:space="0" w:color="auto"/>
                            <w:left w:val="none" w:sz="0" w:space="0" w:color="auto"/>
                            <w:bottom w:val="none" w:sz="0" w:space="0" w:color="auto"/>
                            <w:right w:val="none" w:sz="0" w:space="0" w:color="auto"/>
                          </w:divBdr>
                          <w:divsChild>
                            <w:div w:id="249042334">
                              <w:marLeft w:val="0"/>
                              <w:marRight w:val="0"/>
                              <w:marTop w:val="0"/>
                              <w:marBottom w:val="0"/>
                              <w:divBdr>
                                <w:top w:val="none" w:sz="0" w:space="0" w:color="auto"/>
                                <w:left w:val="none" w:sz="0" w:space="0" w:color="auto"/>
                                <w:bottom w:val="none" w:sz="0" w:space="0" w:color="auto"/>
                                <w:right w:val="none" w:sz="0" w:space="0" w:color="auto"/>
                              </w:divBdr>
                              <w:divsChild>
                                <w:div w:id="1900826410">
                                  <w:marLeft w:val="0"/>
                                  <w:marRight w:val="0"/>
                                  <w:marTop w:val="0"/>
                                  <w:marBottom w:val="0"/>
                                  <w:divBdr>
                                    <w:top w:val="none" w:sz="0" w:space="0" w:color="auto"/>
                                    <w:left w:val="none" w:sz="0" w:space="0" w:color="auto"/>
                                    <w:bottom w:val="none" w:sz="0" w:space="0" w:color="auto"/>
                                    <w:right w:val="none" w:sz="0" w:space="0" w:color="auto"/>
                                  </w:divBdr>
                                  <w:divsChild>
                                    <w:div w:id="94584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568408">
      <w:bodyDiv w:val="1"/>
      <w:marLeft w:val="0"/>
      <w:marRight w:val="0"/>
      <w:marTop w:val="0"/>
      <w:marBottom w:val="0"/>
      <w:divBdr>
        <w:top w:val="none" w:sz="0" w:space="0" w:color="auto"/>
        <w:left w:val="none" w:sz="0" w:space="0" w:color="auto"/>
        <w:bottom w:val="none" w:sz="0" w:space="0" w:color="auto"/>
        <w:right w:val="none" w:sz="0" w:space="0" w:color="auto"/>
      </w:divBdr>
      <w:divsChild>
        <w:div w:id="1061516178">
          <w:marLeft w:val="0"/>
          <w:marRight w:val="0"/>
          <w:marTop w:val="0"/>
          <w:marBottom w:val="0"/>
          <w:divBdr>
            <w:top w:val="none" w:sz="0" w:space="0" w:color="auto"/>
            <w:left w:val="none" w:sz="0" w:space="0" w:color="auto"/>
            <w:bottom w:val="none" w:sz="0" w:space="0" w:color="auto"/>
            <w:right w:val="none" w:sz="0" w:space="0" w:color="auto"/>
          </w:divBdr>
          <w:divsChild>
            <w:div w:id="1334458360">
              <w:marLeft w:val="0"/>
              <w:marRight w:val="60"/>
              <w:marTop w:val="0"/>
              <w:marBottom w:val="0"/>
              <w:divBdr>
                <w:top w:val="none" w:sz="0" w:space="0" w:color="auto"/>
                <w:left w:val="none" w:sz="0" w:space="0" w:color="auto"/>
                <w:bottom w:val="none" w:sz="0" w:space="0" w:color="auto"/>
                <w:right w:val="none" w:sz="0" w:space="0" w:color="auto"/>
              </w:divBdr>
              <w:divsChild>
                <w:div w:id="112500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621334">
      <w:bodyDiv w:val="1"/>
      <w:marLeft w:val="0"/>
      <w:marRight w:val="0"/>
      <w:marTop w:val="0"/>
      <w:marBottom w:val="0"/>
      <w:divBdr>
        <w:top w:val="none" w:sz="0" w:space="0" w:color="auto"/>
        <w:left w:val="none" w:sz="0" w:space="0" w:color="auto"/>
        <w:bottom w:val="none" w:sz="0" w:space="0" w:color="auto"/>
        <w:right w:val="none" w:sz="0" w:space="0" w:color="auto"/>
      </w:divBdr>
      <w:divsChild>
        <w:div w:id="1483816843">
          <w:marLeft w:val="0"/>
          <w:marRight w:val="0"/>
          <w:marTop w:val="0"/>
          <w:marBottom w:val="0"/>
          <w:divBdr>
            <w:top w:val="none" w:sz="0" w:space="0" w:color="auto"/>
            <w:left w:val="none" w:sz="0" w:space="0" w:color="auto"/>
            <w:bottom w:val="none" w:sz="0" w:space="0" w:color="auto"/>
            <w:right w:val="none" w:sz="0" w:space="0" w:color="auto"/>
          </w:divBdr>
          <w:divsChild>
            <w:div w:id="2000965049">
              <w:marLeft w:val="0"/>
              <w:marRight w:val="0"/>
              <w:marTop w:val="0"/>
              <w:marBottom w:val="0"/>
              <w:divBdr>
                <w:top w:val="none" w:sz="0" w:space="0" w:color="auto"/>
                <w:left w:val="none" w:sz="0" w:space="0" w:color="auto"/>
                <w:bottom w:val="none" w:sz="0" w:space="0" w:color="auto"/>
                <w:right w:val="none" w:sz="0" w:space="0" w:color="auto"/>
              </w:divBdr>
              <w:divsChild>
                <w:div w:id="789857271">
                  <w:marLeft w:val="0"/>
                  <w:marRight w:val="0"/>
                  <w:marTop w:val="0"/>
                  <w:marBottom w:val="0"/>
                  <w:divBdr>
                    <w:top w:val="none" w:sz="0" w:space="0" w:color="auto"/>
                    <w:left w:val="none" w:sz="0" w:space="0" w:color="auto"/>
                    <w:bottom w:val="none" w:sz="0" w:space="0" w:color="auto"/>
                    <w:right w:val="none" w:sz="0" w:space="0" w:color="auto"/>
                  </w:divBdr>
                  <w:divsChild>
                    <w:div w:id="420833398">
                      <w:marLeft w:val="0"/>
                      <w:marRight w:val="0"/>
                      <w:marTop w:val="0"/>
                      <w:marBottom w:val="0"/>
                      <w:divBdr>
                        <w:top w:val="none" w:sz="0" w:space="0" w:color="auto"/>
                        <w:left w:val="none" w:sz="0" w:space="0" w:color="auto"/>
                        <w:bottom w:val="none" w:sz="0" w:space="0" w:color="auto"/>
                        <w:right w:val="none" w:sz="0" w:space="0" w:color="auto"/>
                      </w:divBdr>
                      <w:divsChild>
                        <w:div w:id="1926454563">
                          <w:marLeft w:val="0"/>
                          <w:marRight w:val="0"/>
                          <w:marTop w:val="0"/>
                          <w:marBottom w:val="0"/>
                          <w:divBdr>
                            <w:top w:val="none" w:sz="0" w:space="0" w:color="auto"/>
                            <w:left w:val="none" w:sz="0" w:space="0" w:color="auto"/>
                            <w:bottom w:val="none" w:sz="0" w:space="0" w:color="auto"/>
                            <w:right w:val="none" w:sz="0" w:space="0" w:color="auto"/>
                          </w:divBdr>
                          <w:divsChild>
                            <w:div w:id="1424762292">
                              <w:marLeft w:val="0"/>
                              <w:marRight w:val="0"/>
                              <w:marTop w:val="0"/>
                              <w:marBottom w:val="0"/>
                              <w:divBdr>
                                <w:top w:val="none" w:sz="0" w:space="0" w:color="auto"/>
                                <w:left w:val="none" w:sz="0" w:space="0" w:color="auto"/>
                                <w:bottom w:val="none" w:sz="0" w:space="0" w:color="auto"/>
                                <w:right w:val="none" w:sz="0" w:space="0" w:color="auto"/>
                              </w:divBdr>
                              <w:divsChild>
                                <w:div w:id="24642292">
                                  <w:marLeft w:val="0"/>
                                  <w:marRight w:val="0"/>
                                  <w:marTop w:val="0"/>
                                  <w:marBottom w:val="0"/>
                                  <w:divBdr>
                                    <w:top w:val="none" w:sz="0" w:space="0" w:color="auto"/>
                                    <w:left w:val="none" w:sz="0" w:space="0" w:color="auto"/>
                                    <w:bottom w:val="none" w:sz="0" w:space="0" w:color="auto"/>
                                    <w:right w:val="none" w:sz="0" w:space="0" w:color="auto"/>
                                  </w:divBdr>
                                  <w:divsChild>
                                    <w:div w:id="138813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288370">
      <w:bodyDiv w:val="1"/>
      <w:marLeft w:val="0"/>
      <w:marRight w:val="0"/>
      <w:marTop w:val="0"/>
      <w:marBottom w:val="0"/>
      <w:divBdr>
        <w:top w:val="none" w:sz="0" w:space="0" w:color="auto"/>
        <w:left w:val="none" w:sz="0" w:space="0" w:color="auto"/>
        <w:bottom w:val="none" w:sz="0" w:space="0" w:color="auto"/>
        <w:right w:val="none" w:sz="0" w:space="0" w:color="auto"/>
      </w:divBdr>
      <w:divsChild>
        <w:div w:id="2011250788">
          <w:marLeft w:val="0"/>
          <w:marRight w:val="0"/>
          <w:marTop w:val="0"/>
          <w:marBottom w:val="0"/>
          <w:divBdr>
            <w:top w:val="none" w:sz="0" w:space="0" w:color="auto"/>
            <w:left w:val="none" w:sz="0" w:space="0" w:color="auto"/>
            <w:bottom w:val="none" w:sz="0" w:space="0" w:color="auto"/>
            <w:right w:val="none" w:sz="0" w:space="0" w:color="auto"/>
          </w:divBdr>
          <w:divsChild>
            <w:div w:id="1008944319">
              <w:marLeft w:val="0"/>
              <w:marRight w:val="0"/>
              <w:marTop w:val="0"/>
              <w:marBottom w:val="0"/>
              <w:divBdr>
                <w:top w:val="none" w:sz="0" w:space="0" w:color="auto"/>
                <w:left w:val="none" w:sz="0" w:space="0" w:color="auto"/>
                <w:bottom w:val="none" w:sz="0" w:space="0" w:color="auto"/>
                <w:right w:val="none" w:sz="0" w:space="0" w:color="auto"/>
              </w:divBdr>
              <w:divsChild>
                <w:div w:id="639386053">
                  <w:marLeft w:val="0"/>
                  <w:marRight w:val="0"/>
                  <w:marTop w:val="0"/>
                  <w:marBottom w:val="0"/>
                  <w:divBdr>
                    <w:top w:val="none" w:sz="0" w:space="0" w:color="auto"/>
                    <w:left w:val="none" w:sz="0" w:space="0" w:color="auto"/>
                    <w:bottom w:val="none" w:sz="0" w:space="0" w:color="auto"/>
                    <w:right w:val="none" w:sz="0" w:space="0" w:color="auto"/>
                  </w:divBdr>
                  <w:divsChild>
                    <w:div w:id="1657688437">
                      <w:marLeft w:val="0"/>
                      <w:marRight w:val="0"/>
                      <w:marTop w:val="0"/>
                      <w:marBottom w:val="0"/>
                      <w:divBdr>
                        <w:top w:val="none" w:sz="0" w:space="0" w:color="auto"/>
                        <w:left w:val="none" w:sz="0" w:space="0" w:color="auto"/>
                        <w:bottom w:val="none" w:sz="0" w:space="0" w:color="auto"/>
                        <w:right w:val="none" w:sz="0" w:space="0" w:color="auto"/>
                      </w:divBdr>
                      <w:divsChild>
                        <w:div w:id="716780940">
                          <w:marLeft w:val="0"/>
                          <w:marRight w:val="0"/>
                          <w:marTop w:val="0"/>
                          <w:marBottom w:val="0"/>
                          <w:divBdr>
                            <w:top w:val="none" w:sz="0" w:space="0" w:color="auto"/>
                            <w:left w:val="none" w:sz="0" w:space="0" w:color="auto"/>
                            <w:bottom w:val="none" w:sz="0" w:space="0" w:color="auto"/>
                            <w:right w:val="none" w:sz="0" w:space="0" w:color="auto"/>
                          </w:divBdr>
                          <w:divsChild>
                            <w:div w:id="980306797">
                              <w:marLeft w:val="0"/>
                              <w:marRight w:val="0"/>
                              <w:marTop w:val="0"/>
                              <w:marBottom w:val="0"/>
                              <w:divBdr>
                                <w:top w:val="none" w:sz="0" w:space="0" w:color="auto"/>
                                <w:left w:val="none" w:sz="0" w:space="0" w:color="auto"/>
                                <w:bottom w:val="none" w:sz="0" w:space="0" w:color="auto"/>
                                <w:right w:val="none" w:sz="0" w:space="0" w:color="auto"/>
                              </w:divBdr>
                              <w:divsChild>
                                <w:div w:id="1257515419">
                                  <w:marLeft w:val="0"/>
                                  <w:marRight w:val="0"/>
                                  <w:marTop w:val="0"/>
                                  <w:marBottom w:val="0"/>
                                  <w:divBdr>
                                    <w:top w:val="none" w:sz="0" w:space="0" w:color="auto"/>
                                    <w:left w:val="none" w:sz="0" w:space="0" w:color="auto"/>
                                    <w:bottom w:val="none" w:sz="0" w:space="0" w:color="auto"/>
                                    <w:right w:val="none" w:sz="0" w:space="0" w:color="auto"/>
                                  </w:divBdr>
                                  <w:divsChild>
                                    <w:div w:id="96038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037451">
      <w:bodyDiv w:val="1"/>
      <w:marLeft w:val="0"/>
      <w:marRight w:val="0"/>
      <w:marTop w:val="0"/>
      <w:marBottom w:val="0"/>
      <w:divBdr>
        <w:top w:val="none" w:sz="0" w:space="0" w:color="auto"/>
        <w:left w:val="none" w:sz="0" w:space="0" w:color="auto"/>
        <w:bottom w:val="none" w:sz="0" w:space="0" w:color="auto"/>
        <w:right w:val="none" w:sz="0" w:space="0" w:color="auto"/>
      </w:divBdr>
      <w:divsChild>
        <w:div w:id="1432626121">
          <w:marLeft w:val="0"/>
          <w:marRight w:val="0"/>
          <w:marTop w:val="0"/>
          <w:marBottom w:val="0"/>
          <w:divBdr>
            <w:top w:val="none" w:sz="0" w:space="0" w:color="auto"/>
            <w:left w:val="none" w:sz="0" w:space="0" w:color="auto"/>
            <w:bottom w:val="none" w:sz="0" w:space="0" w:color="auto"/>
            <w:right w:val="none" w:sz="0" w:space="0" w:color="auto"/>
          </w:divBdr>
          <w:divsChild>
            <w:div w:id="246425792">
              <w:marLeft w:val="0"/>
              <w:marRight w:val="60"/>
              <w:marTop w:val="0"/>
              <w:marBottom w:val="0"/>
              <w:divBdr>
                <w:top w:val="none" w:sz="0" w:space="0" w:color="auto"/>
                <w:left w:val="none" w:sz="0" w:space="0" w:color="auto"/>
                <w:bottom w:val="none" w:sz="0" w:space="0" w:color="auto"/>
                <w:right w:val="none" w:sz="0" w:space="0" w:color="auto"/>
              </w:divBdr>
              <w:divsChild>
                <w:div w:id="100639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86292">
      <w:bodyDiv w:val="1"/>
      <w:marLeft w:val="0"/>
      <w:marRight w:val="0"/>
      <w:marTop w:val="0"/>
      <w:marBottom w:val="0"/>
      <w:divBdr>
        <w:top w:val="none" w:sz="0" w:space="0" w:color="auto"/>
        <w:left w:val="none" w:sz="0" w:space="0" w:color="auto"/>
        <w:bottom w:val="none" w:sz="0" w:space="0" w:color="auto"/>
        <w:right w:val="none" w:sz="0" w:space="0" w:color="auto"/>
      </w:divBdr>
      <w:divsChild>
        <w:div w:id="1699043732">
          <w:marLeft w:val="0"/>
          <w:marRight w:val="0"/>
          <w:marTop w:val="0"/>
          <w:marBottom w:val="0"/>
          <w:divBdr>
            <w:top w:val="none" w:sz="0" w:space="0" w:color="auto"/>
            <w:left w:val="none" w:sz="0" w:space="0" w:color="auto"/>
            <w:bottom w:val="none" w:sz="0" w:space="0" w:color="auto"/>
            <w:right w:val="none" w:sz="0" w:space="0" w:color="auto"/>
          </w:divBdr>
        </w:div>
        <w:div w:id="571894530">
          <w:marLeft w:val="0"/>
          <w:marRight w:val="0"/>
          <w:marTop w:val="0"/>
          <w:marBottom w:val="0"/>
          <w:divBdr>
            <w:top w:val="none" w:sz="0" w:space="0" w:color="auto"/>
            <w:left w:val="none" w:sz="0" w:space="0" w:color="auto"/>
            <w:bottom w:val="none" w:sz="0" w:space="0" w:color="auto"/>
            <w:right w:val="none" w:sz="0" w:space="0" w:color="auto"/>
          </w:divBdr>
        </w:div>
        <w:div w:id="1404254241">
          <w:marLeft w:val="0"/>
          <w:marRight w:val="0"/>
          <w:marTop w:val="0"/>
          <w:marBottom w:val="0"/>
          <w:divBdr>
            <w:top w:val="none" w:sz="0" w:space="0" w:color="auto"/>
            <w:left w:val="none" w:sz="0" w:space="0" w:color="auto"/>
            <w:bottom w:val="none" w:sz="0" w:space="0" w:color="auto"/>
            <w:right w:val="none" w:sz="0" w:space="0" w:color="auto"/>
          </w:divBdr>
        </w:div>
        <w:div w:id="1899977328">
          <w:marLeft w:val="0"/>
          <w:marRight w:val="0"/>
          <w:marTop w:val="0"/>
          <w:marBottom w:val="0"/>
          <w:divBdr>
            <w:top w:val="none" w:sz="0" w:space="0" w:color="auto"/>
            <w:left w:val="none" w:sz="0" w:space="0" w:color="auto"/>
            <w:bottom w:val="none" w:sz="0" w:space="0" w:color="auto"/>
            <w:right w:val="none" w:sz="0" w:space="0" w:color="auto"/>
          </w:divBdr>
        </w:div>
        <w:div w:id="722217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centivefederation.org/wp-content/uploads/2017/03/IF-Wash-Update-03.15.1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gress.gov/bill/115th-congress/house-bill/10/tex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akson.senate.gov/public/_cache/files/748b5f84-6682-4945-ad8f-60f9b31d06ed/attachment%20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aysandmeans.house.gov/wp-content/uploads/2017/06/HR-2823.pdf" TargetMode="External"/><Relationship Id="rId4" Type="http://schemas.openxmlformats.org/officeDocument/2006/relationships/settings" Target="settings.xml"/><Relationship Id="rId9" Type="http://schemas.openxmlformats.org/officeDocument/2006/relationships/hyperlink" Target="https://www.warren.senate.gov/files/documents/2015-10-27_Senator_Warren_Report_on_Annuity_Industry.pdf" TargetMode="External"/><Relationship Id="rId14" Type="http://schemas.openxmlformats.org/officeDocument/2006/relationships/hyperlink" Target="mailto:steves3309@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_000\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Newsletter.dotx</Template>
  <TotalTime>132</TotalTime>
  <Pages>2</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Slagle</dc:creator>
  <cp:keywords/>
  <cp:lastModifiedBy>Steve Slagle</cp:lastModifiedBy>
  <cp:revision>8</cp:revision>
  <cp:lastPrinted>2017-01-06T18:59:00Z</cp:lastPrinted>
  <dcterms:created xsi:type="dcterms:W3CDTF">2017-06-19T18:28:00Z</dcterms:created>
  <dcterms:modified xsi:type="dcterms:W3CDTF">2017-06-21T17:43:00Z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