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F31A61" w:rsidRDefault="00C50E0D" w:rsidP="00F31A61">
      <w:pPr>
        <w:pStyle w:val="Title"/>
        <w:jc w:val="both"/>
        <w:rPr>
          <w:color w:val="003192"/>
          <w:sz w:val="28"/>
          <w:szCs w:val="28"/>
        </w:rPr>
      </w:pPr>
      <w:r>
        <w:rPr>
          <w:color w:val="95441D" w:themeColor="text2" w:themeTint="BF"/>
        </w:rPr>
        <w:t>Bulletin</w:t>
      </w:r>
      <w:r w:rsidR="00910A7F">
        <w:rPr>
          <w:color w:val="95441D" w:themeColor="text2" w:themeTint="BF"/>
        </w:rPr>
        <w:tab/>
      </w:r>
      <w:r w:rsidR="00910A7F">
        <w:rPr>
          <w:color w:val="95441D" w:themeColor="text2" w:themeTint="BF"/>
        </w:rPr>
        <w:tab/>
      </w:r>
      <w:r w:rsidR="00910A7F">
        <w:rPr>
          <w:color w:val="95441D" w:themeColor="text2" w:themeTint="BF"/>
        </w:rPr>
        <w:tab/>
      </w:r>
      <w:r>
        <w:rPr>
          <w:color w:val="95441D" w:themeColor="text2" w:themeTint="BF"/>
        </w:rPr>
        <w:tab/>
      </w:r>
      <w:r>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Pr>
          <w:color w:val="95441D" w:themeColor="text2" w:themeTint="BF"/>
          <w:sz w:val="22"/>
          <w:szCs w:val="22"/>
        </w:rPr>
        <w:t>www.incentivefederation.org</w:t>
      </w:r>
      <w:r w:rsidR="00F31A61">
        <w:rPr>
          <w:color w:val="95441D" w:themeColor="text2" w:themeTint="BF"/>
        </w:rPr>
        <w:tab/>
      </w:r>
      <w:r w:rsidR="00910A7F" w:rsidRPr="00AA3BD0">
        <w:rPr>
          <w:color w:val="003192"/>
          <w:sz w:val="28"/>
          <w:szCs w:val="28"/>
        </w:rPr>
        <w:tab/>
      </w:r>
    </w:p>
    <w:p w:rsidR="00F31A61" w:rsidRDefault="00F31A61" w:rsidP="00F31A61">
      <w:pPr>
        <w:pStyle w:val="Title"/>
        <w:jc w:val="both"/>
        <w:rPr>
          <w:color w:val="003192"/>
          <w:sz w:val="28"/>
          <w:szCs w:val="28"/>
        </w:rPr>
      </w:pPr>
    </w:p>
    <w:p w:rsidR="00A82319" w:rsidRPr="00F31A61" w:rsidRDefault="00F31A61" w:rsidP="00F31A61">
      <w:pPr>
        <w:pStyle w:val="Title"/>
        <w:jc w:val="both"/>
        <w:rPr>
          <w:color w:val="95441D" w:themeColor="text2" w:themeTint="BF"/>
        </w:rPr>
      </w:pPr>
      <w:r>
        <w:rPr>
          <w:color w:val="003192"/>
          <w:sz w:val="28"/>
          <w:szCs w:val="28"/>
        </w:rPr>
        <w:t>May 2017</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rsidR="00D6208A" w:rsidRDefault="00D6208A" w:rsidP="00D6208A">
      <w:pPr>
        <w:pStyle w:val="Heading1"/>
        <w:rPr>
          <w:rFonts w:cstheme="majorHAnsi"/>
          <w:b w:val="0"/>
          <w:color w:val="95441D" w:themeColor="text2" w:themeTint="BF"/>
          <w:szCs w:val="24"/>
          <w:lang w:val="en"/>
        </w:rPr>
      </w:pPr>
    </w:p>
    <w:p w:rsidR="00426B51" w:rsidRDefault="00F31A61" w:rsidP="001E04BB">
      <w:pPr>
        <w:shd w:val="clear" w:color="auto" w:fill="FFFFFF"/>
        <w:spacing w:after="240"/>
        <w:jc w:val="left"/>
        <w:rPr>
          <w:rFonts w:asciiTheme="majorHAnsi" w:hAnsiTheme="majorHAnsi" w:cstheme="majorHAnsi"/>
          <w:b/>
          <w:color w:val="95441D" w:themeColor="text2" w:themeTint="BF"/>
        </w:rPr>
      </w:pPr>
      <w:r w:rsidRPr="00D94740">
        <w:rPr>
          <w:noProof/>
          <w:lang w:eastAsia="en-US"/>
        </w:rPr>
        <mc:AlternateContent>
          <mc:Choice Requires="wps">
            <w:drawing>
              <wp:anchor distT="182880" distB="182880" distL="274320" distR="274320" simplePos="0" relativeHeight="251659264" behindDoc="0" locked="0" layoutInCell="1" allowOverlap="0" wp14:anchorId="1917EC84" wp14:editId="45D94331">
                <wp:simplePos x="0" y="0"/>
                <wp:positionH relativeFrom="margin">
                  <wp:posOffset>95250</wp:posOffset>
                </wp:positionH>
                <wp:positionV relativeFrom="paragraph">
                  <wp:posOffset>8255</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7EC84" id="_x0000_t202" coordsize="21600,21600" o:spt="202" path="m,l,21600r21600,l21600,xe">
                <v:stroke joinstyle="miter"/>
                <v:path gradientshapeok="t" o:connecttype="rect"/>
              </v:shapetype>
              <v:shape id="Text Box 1" o:spid="_x0000_s1026" type="#_x0000_t202" alt="Text box sidebar" style="position:absolute;margin-left:7.5pt;margin-top:.65pt;width:178.65pt;height:52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hyperlink r:id="rId9" w:history="1">
        <w:r w:rsidR="00426B51" w:rsidRPr="00426B51">
          <w:rPr>
            <w:rFonts w:asciiTheme="majorHAnsi" w:hAnsiTheme="majorHAnsi" w:cstheme="majorHAnsi"/>
            <w:b/>
            <w:color w:val="95441D" w:themeColor="text2" w:themeTint="BF"/>
            <w:bdr w:val="none" w:sz="0" w:space="0" w:color="auto" w:frame="1"/>
          </w:rPr>
          <w:t>IRF</w:t>
        </w:r>
        <w:r w:rsidR="001872A2">
          <w:rPr>
            <w:rFonts w:asciiTheme="majorHAnsi" w:hAnsiTheme="majorHAnsi" w:cstheme="majorHAnsi"/>
            <w:b/>
            <w:color w:val="95441D" w:themeColor="text2" w:themeTint="BF"/>
            <w:bdr w:val="none" w:sz="0" w:space="0" w:color="auto" w:frame="1"/>
          </w:rPr>
          <w:t>’s New Study Explores How</w:t>
        </w:r>
        <w:r w:rsidR="00426B51" w:rsidRPr="00426B51">
          <w:rPr>
            <w:rFonts w:asciiTheme="majorHAnsi" w:hAnsiTheme="majorHAnsi" w:cstheme="majorHAnsi"/>
            <w:b/>
            <w:color w:val="95441D" w:themeColor="text2" w:themeTint="BF"/>
            <w:bdr w:val="none" w:sz="0" w:space="0" w:color="auto" w:frame="1"/>
          </w:rPr>
          <w:t xml:space="preserve"> Behavioral </w:t>
        </w:r>
        <w:r w:rsidR="00426B51" w:rsidRPr="00426B51">
          <w:rPr>
            <w:rFonts w:asciiTheme="majorHAnsi" w:hAnsiTheme="majorHAnsi" w:cstheme="majorHAnsi"/>
            <w:b/>
            <w:color w:val="95441D" w:themeColor="text2" w:themeTint="BF"/>
            <w:bdr w:val="none" w:sz="0" w:space="0" w:color="auto" w:frame="1"/>
          </w:rPr>
          <w:t xml:space="preserve">Economics </w:t>
        </w:r>
        <w:r w:rsidR="001872A2">
          <w:rPr>
            <w:rFonts w:asciiTheme="majorHAnsi" w:hAnsiTheme="majorHAnsi" w:cstheme="majorHAnsi"/>
            <w:b/>
            <w:color w:val="95441D" w:themeColor="text2" w:themeTint="BF"/>
            <w:bdr w:val="none" w:sz="0" w:space="0" w:color="auto" w:frame="1"/>
          </w:rPr>
          <w:t>Can Be Applied To IRR</w:t>
        </w:r>
        <w:r w:rsidR="00426B51" w:rsidRPr="00426B51">
          <w:rPr>
            <w:rFonts w:asciiTheme="majorHAnsi" w:hAnsiTheme="majorHAnsi" w:cstheme="majorHAnsi"/>
            <w:b/>
            <w:color w:val="95441D" w:themeColor="text2" w:themeTint="BF"/>
            <w:bdr w:val="none" w:sz="0" w:space="0" w:color="auto" w:frame="1"/>
          </w:rPr>
          <w:t xml:space="preserve"> Programs</w:t>
        </w:r>
      </w:hyperlink>
      <w:r w:rsidR="001872A2">
        <w:rPr>
          <w:rFonts w:asciiTheme="majorHAnsi" w:hAnsiTheme="majorHAnsi" w:cstheme="majorHAnsi"/>
          <w:b/>
          <w:color w:val="95441D" w:themeColor="text2" w:themeTint="BF"/>
        </w:rPr>
        <w:t xml:space="preserve"> and Employee Performance</w:t>
      </w:r>
    </w:p>
    <w:p w:rsidR="00426B51" w:rsidRDefault="00426B51" w:rsidP="001E04BB">
      <w:pPr>
        <w:shd w:val="clear" w:color="auto" w:fill="FFFFFF"/>
        <w:spacing w:after="240" w:line="276" w:lineRule="auto"/>
        <w:jc w:val="left"/>
        <w:rPr>
          <w:rFonts w:asciiTheme="majorHAnsi" w:hAnsiTheme="majorHAnsi" w:cstheme="majorHAnsi"/>
          <w:sz w:val="20"/>
          <w:szCs w:val="20"/>
        </w:rPr>
      </w:pPr>
      <w:r w:rsidRPr="00426B51">
        <w:rPr>
          <w:rFonts w:asciiTheme="majorHAnsi" w:hAnsiTheme="majorHAnsi" w:cstheme="majorHAnsi"/>
          <w:sz w:val="20"/>
          <w:szCs w:val="20"/>
        </w:rPr>
        <w:t>The Incentive Research Foundation (IRF) has released its analysis on how behavioral economics can be applied to the incentive, rewards and recognition (IRR) field in the report, “Using Behavioral Economics Insights in Incentives, Rewards, and Recognition: A Nudge Guide.” Behavioral economics combines traditional economics, social psychology, neuroscience and</w:t>
      </w:r>
      <w:r w:rsidRPr="00426B51">
        <w:rPr>
          <w:rFonts w:ascii="Helvetica" w:hAnsi="Helvetica"/>
        </w:rPr>
        <w:t xml:space="preserve"> </w:t>
      </w:r>
      <w:r w:rsidRPr="00426B51">
        <w:rPr>
          <w:rFonts w:asciiTheme="majorHAnsi" w:hAnsiTheme="majorHAnsi" w:cstheme="majorHAnsi"/>
          <w:sz w:val="20"/>
          <w:szCs w:val="20"/>
        </w:rPr>
        <w:t>other disciplines to identify</w:t>
      </w:r>
      <w:r>
        <w:rPr>
          <w:rFonts w:ascii="Helvetica" w:hAnsi="Helvetica"/>
        </w:rPr>
        <w:t xml:space="preserve"> </w:t>
      </w:r>
      <w:r w:rsidRPr="00426B51">
        <w:rPr>
          <w:rFonts w:asciiTheme="majorHAnsi" w:hAnsiTheme="majorHAnsi" w:cstheme="majorHAnsi"/>
          <w:sz w:val="20"/>
          <w:szCs w:val="20"/>
        </w:rPr>
        <w:t>the motivations behind people’s actions.</w:t>
      </w:r>
    </w:p>
    <w:p w:rsidR="001E04BB" w:rsidRPr="001E04BB" w:rsidRDefault="001E04BB" w:rsidP="001E04BB">
      <w:pPr>
        <w:shd w:val="clear" w:color="auto" w:fill="FFFFFF"/>
        <w:spacing w:after="240" w:line="276" w:lineRule="auto"/>
        <w:jc w:val="left"/>
        <w:rPr>
          <w:rFonts w:asciiTheme="majorHAnsi" w:eastAsia="Times New Roman" w:hAnsiTheme="majorHAnsi" w:cstheme="majorHAnsi"/>
          <w:b/>
          <w:sz w:val="20"/>
          <w:szCs w:val="20"/>
          <w:shd w:val="clear" w:color="auto" w:fill="FFFFFF"/>
          <w:lang w:eastAsia="en-US"/>
        </w:rPr>
      </w:pPr>
      <w:r w:rsidRPr="001E04BB">
        <w:rPr>
          <w:rFonts w:asciiTheme="majorHAnsi" w:hAnsiTheme="majorHAnsi" w:cstheme="majorHAnsi"/>
          <w:sz w:val="20"/>
          <w:szCs w:val="20"/>
        </w:rPr>
        <w:t>Offering practical takeaways to apply immediately in incentives, rewards, and recognition (IRR) programs, the IRF’s report highlights proven behavioral economics approaches that make sense of—and capitalize upon—the powerful role of emotions in employee performance</w:t>
      </w:r>
      <w:r w:rsidR="001872A2">
        <w:rPr>
          <w:rFonts w:asciiTheme="majorHAnsi" w:hAnsiTheme="majorHAnsi" w:cstheme="majorHAnsi"/>
          <w:sz w:val="20"/>
          <w:szCs w:val="20"/>
        </w:rPr>
        <w:t>.</w:t>
      </w:r>
    </w:p>
    <w:p w:rsidR="00426B51" w:rsidRDefault="00426B51" w:rsidP="001E04BB">
      <w:pPr>
        <w:spacing w:line="276" w:lineRule="auto"/>
        <w:jc w:val="left"/>
        <w:rPr>
          <w:rFonts w:asciiTheme="majorHAnsi" w:eastAsia="Times New Roman" w:hAnsiTheme="majorHAnsi" w:cstheme="majorHAnsi"/>
          <w:sz w:val="20"/>
          <w:szCs w:val="20"/>
          <w:lang w:eastAsia="en-US"/>
        </w:rPr>
      </w:pPr>
      <w:r w:rsidRPr="00426B51">
        <w:rPr>
          <w:rFonts w:asciiTheme="majorHAnsi" w:eastAsia="Times New Roman" w:hAnsiTheme="majorHAnsi" w:cstheme="majorHAnsi"/>
          <w:sz w:val="20"/>
          <w:szCs w:val="20"/>
          <w:lang w:eastAsia="en-US"/>
        </w:rPr>
        <w:t>“Behavioral economics gets to the heart of why people make specific choices, and it can be an effective resource in designing IRR programs that motivate employees’ best performance,” says Melissa Van Dyke, IRF President. “By understanding the role of emotion in motivation as explained in [the report] IRR professionals can use this knowledge of human drives to make work more satisfying, enjoyable and rewarding.”</w:t>
      </w:r>
    </w:p>
    <w:p w:rsidR="001E04BB" w:rsidRPr="00426B51" w:rsidRDefault="001E04BB" w:rsidP="001E04BB">
      <w:pPr>
        <w:spacing w:line="276" w:lineRule="auto"/>
        <w:jc w:val="left"/>
        <w:rPr>
          <w:rFonts w:asciiTheme="majorHAnsi" w:eastAsia="Times New Roman" w:hAnsiTheme="majorHAnsi" w:cstheme="majorHAnsi"/>
          <w:sz w:val="20"/>
          <w:szCs w:val="20"/>
          <w:lang w:eastAsia="en-US"/>
        </w:rPr>
      </w:pPr>
    </w:p>
    <w:p w:rsidR="00426B51" w:rsidRPr="00426B51" w:rsidRDefault="00426B51" w:rsidP="001E04BB">
      <w:pPr>
        <w:spacing w:line="276" w:lineRule="auto"/>
        <w:jc w:val="left"/>
        <w:rPr>
          <w:rFonts w:asciiTheme="majorHAnsi" w:eastAsia="Times New Roman" w:hAnsiTheme="majorHAnsi" w:cstheme="majorHAnsi"/>
          <w:sz w:val="20"/>
          <w:szCs w:val="20"/>
          <w:lang w:eastAsia="en-US"/>
        </w:rPr>
      </w:pPr>
      <w:r w:rsidRPr="00426B51">
        <w:rPr>
          <w:rFonts w:asciiTheme="majorHAnsi" w:eastAsia="Times New Roman" w:hAnsiTheme="majorHAnsi" w:cstheme="majorHAnsi"/>
          <w:sz w:val="20"/>
          <w:szCs w:val="20"/>
          <w:lang w:eastAsia="en-US"/>
        </w:rPr>
        <w:t xml:space="preserve">The IRF’s interest in behavioral economics stems from the practice’s utility as a tool in helping employers understand what actually motivates employees, why some incentives are more effective than others and how they can strategically apply these principles to their own businesses. </w:t>
      </w:r>
    </w:p>
    <w:p w:rsidR="00426B51" w:rsidRPr="001E04BB" w:rsidRDefault="001E04BB" w:rsidP="00426B51">
      <w:pPr>
        <w:shd w:val="clear" w:color="auto" w:fill="FFFFFF"/>
        <w:rPr>
          <w:rFonts w:asciiTheme="majorHAnsi" w:eastAsia="Times New Roman" w:hAnsiTheme="majorHAnsi" w:cstheme="majorHAnsi"/>
          <w:b/>
          <w:color w:val="95441D" w:themeColor="text2" w:themeTint="BF"/>
          <w:sz w:val="20"/>
          <w:szCs w:val="20"/>
          <w:shd w:val="clear" w:color="auto" w:fill="FFFFFF"/>
          <w:lang w:eastAsia="en-US"/>
        </w:rPr>
      </w:pPr>
      <w:r>
        <w:rPr>
          <w:rFonts w:asciiTheme="majorHAnsi" w:hAnsiTheme="majorHAnsi" w:cstheme="majorHAnsi"/>
          <w:sz w:val="20"/>
          <w:szCs w:val="20"/>
        </w:rPr>
        <w:t>Top recommendations from the study are:</w:t>
      </w:r>
    </w:p>
    <w:p w:rsidR="001E04BB" w:rsidRPr="001E04BB" w:rsidRDefault="001E04BB" w:rsidP="001E04BB">
      <w:pPr>
        <w:numPr>
          <w:ilvl w:val="0"/>
          <w:numId w:val="2"/>
        </w:numPr>
        <w:spacing w:before="100" w:beforeAutospacing="1" w:after="100" w:afterAutospacing="1" w:line="312" w:lineRule="atLeast"/>
        <w:ind w:left="0"/>
        <w:jc w:val="left"/>
        <w:rPr>
          <w:rFonts w:asciiTheme="majorHAnsi" w:eastAsia="Times New Roman" w:hAnsiTheme="majorHAnsi" w:cstheme="majorHAnsi"/>
          <w:sz w:val="20"/>
          <w:szCs w:val="20"/>
          <w:lang w:eastAsia="en-US"/>
        </w:rPr>
      </w:pPr>
      <w:r w:rsidRPr="001E04BB">
        <w:rPr>
          <w:rFonts w:asciiTheme="majorHAnsi" w:eastAsia="Times New Roman" w:hAnsiTheme="majorHAnsi" w:cstheme="majorHAnsi"/>
          <w:sz w:val="20"/>
          <w:szCs w:val="20"/>
          <w:lang w:eastAsia="en-US"/>
        </w:rPr>
        <w:t>Nudges (subtle incentive tools/practices) make the reward system user-friendly and maximize its emotional impact. Emotionally compelling rewards hit the mind harder, are remembered longer, produce quantifiably better results from employees and most influence the internal brand.</w:t>
      </w:r>
    </w:p>
    <w:p w:rsidR="001E04BB" w:rsidRPr="001E04BB" w:rsidRDefault="001E04BB" w:rsidP="001E04BB">
      <w:pPr>
        <w:numPr>
          <w:ilvl w:val="0"/>
          <w:numId w:val="2"/>
        </w:numPr>
        <w:spacing w:before="100" w:beforeAutospacing="1" w:after="100" w:afterAutospacing="1" w:line="312" w:lineRule="atLeast"/>
        <w:ind w:left="0"/>
        <w:jc w:val="left"/>
        <w:rPr>
          <w:rFonts w:asciiTheme="majorHAnsi" w:eastAsia="Times New Roman" w:hAnsiTheme="majorHAnsi" w:cstheme="majorHAnsi"/>
          <w:sz w:val="20"/>
          <w:szCs w:val="20"/>
          <w:lang w:eastAsia="en-US"/>
        </w:rPr>
      </w:pPr>
      <w:r w:rsidRPr="001E04BB">
        <w:rPr>
          <w:rFonts w:asciiTheme="majorHAnsi" w:eastAsia="Times New Roman" w:hAnsiTheme="majorHAnsi" w:cstheme="majorHAnsi"/>
          <w:sz w:val="20"/>
          <w:szCs w:val="20"/>
          <w:lang w:eastAsia="en-US"/>
        </w:rPr>
        <w:t>Move beyond programs that rely solely on monetary rewards. Large rewards, in particular, experience-type programs involving travel, tend to generate warm memories and appeal to more than two-thirds of survey respondents over the cash equivalents.</w:t>
      </w:r>
    </w:p>
    <w:p w:rsidR="001E04BB" w:rsidRPr="001E04BB" w:rsidRDefault="001E04BB" w:rsidP="001E04BB">
      <w:pPr>
        <w:numPr>
          <w:ilvl w:val="0"/>
          <w:numId w:val="2"/>
        </w:numPr>
        <w:spacing w:before="100" w:beforeAutospacing="1" w:after="100" w:afterAutospacing="1" w:line="312" w:lineRule="atLeast"/>
        <w:ind w:left="0"/>
        <w:jc w:val="left"/>
        <w:rPr>
          <w:rFonts w:asciiTheme="majorHAnsi" w:eastAsia="Times New Roman" w:hAnsiTheme="majorHAnsi" w:cstheme="majorHAnsi"/>
          <w:sz w:val="20"/>
          <w:szCs w:val="20"/>
          <w:lang w:eastAsia="en-US"/>
        </w:rPr>
      </w:pPr>
      <w:r w:rsidRPr="001E04BB">
        <w:rPr>
          <w:rFonts w:asciiTheme="majorHAnsi" w:eastAsia="Times New Roman" w:hAnsiTheme="majorHAnsi" w:cstheme="majorHAnsi"/>
          <w:sz w:val="20"/>
          <w:szCs w:val="20"/>
          <w:lang w:eastAsia="en-US"/>
        </w:rPr>
        <w:t>Reward a top-performing team as opposed to using a system in which team members compete against each other for a single reward. Cooperative incentives are more effective and valuable than competitive incentives</w:t>
      </w:r>
      <w:bookmarkStart w:id="0" w:name="_GoBack"/>
      <w:bookmarkEnd w:id="0"/>
      <w:r w:rsidRPr="001E04BB">
        <w:rPr>
          <w:rFonts w:asciiTheme="majorHAnsi" w:eastAsia="Times New Roman" w:hAnsiTheme="majorHAnsi" w:cstheme="majorHAnsi"/>
          <w:sz w:val="20"/>
          <w:szCs w:val="20"/>
          <w:lang w:eastAsia="en-US"/>
        </w:rPr>
        <w:t>.</w:t>
      </w:r>
    </w:p>
    <w:p w:rsidR="001E04BB" w:rsidRPr="001E04BB" w:rsidRDefault="001E04BB" w:rsidP="001E04BB">
      <w:pPr>
        <w:numPr>
          <w:ilvl w:val="0"/>
          <w:numId w:val="2"/>
        </w:numPr>
        <w:spacing w:before="100" w:beforeAutospacing="1" w:after="100" w:afterAutospacing="1" w:line="312" w:lineRule="atLeast"/>
        <w:ind w:left="0"/>
        <w:jc w:val="left"/>
        <w:rPr>
          <w:rFonts w:asciiTheme="majorHAnsi" w:eastAsia="Times New Roman" w:hAnsiTheme="majorHAnsi" w:cstheme="majorHAnsi"/>
          <w:sz w:val="20"/>
          <w:szCs w:val="20"/>
          <w:lang w:eastAsia="en-US"/>
        </w:rPr>
      </w:pPr>
      <w:r w:rsidRPr="001E04BB">
        <w:rPr>
          <w:rFonts w:asciiTheme="majorHAnsi" w:eastAsia="Times New Roman" w:hAnsiTheme="majorHAnsi" w:cstheme="majorHAnsi"/>
          <w:sz w:val="20"/>
          <w:szCs w:val="20"/>
          <w:lang w:eastAsia="en-US"/>
        </w:rPr>
        <w:lastRenderedPageBreak/>
        <w:t>Emotionally meaningful incentive benefits extend beyond just improving employee productivity. High-performing employees turn into brand ambassadors who extol the company’s virtues to current and potential customers, vendors and media.</w:t>
      </w:r>
    </w:p>
    <w:p w:rsidR="001E04BB" w:rsidRPr="001E04BB" w:rsidRDefault="001E04BB" w:rsidP="001E04BB">
      <w:pPr>
        <w:spacing w:before="225" w:after="225" w:line="312" w:lineRule="atLeast"/>
        <w:jc w:val="left"/>
        <w:rPr>
          <w:rFonts w:asciiTheme="majorHAnsi" w:eastAsia="Times New Roman" w:hAnsiTheme="majorHAnsi" w:cstheme="majorHAnsi"/>
          <w:sz w:val="20"/>
          <w:szCs w:val="20"/>
          <w:lang w:eastAsia="en-US"/>
        </w:rPr>
      </w:pPr>
      <w:r w:rsidRPr="001E04BB">
        <w:rPr>
          <w:rFonts w:asciiTheme="majorHAnsi" w:eastAsia="Times New Roman" w:hAnsiTheme="majorHAnsi" w:cstheme="majorHAnsi"/>
          <w:sz w:val="20"/>
          <w:szCs w:val="20"/>
          <w:lang w:eastAsia="en-US"/>
        </w:rPr>
        <w:t xml:space="preserve">To download the full study or the white paper, “How to Effectively Harness Behavioral Economics to Drive Employee Performance and Engagement,” </w:t>
      </w:r>
      <w:hyperlink r:id="rId10" w:tgtFrame="_blank" w:history="1">
        <w:r w:rsidRPr="00523ECD">
          <w:rPr>
            <w:rStyle w:val="Hyperlink"/>
            <w:rFonts w:asciiTheme="majorHAnsi" w:eastAsia="Times New Roman" w:hAnsiTheme="majorHAnsi" w:cstheme="majorHAnsi"/>
            <w:sz w:val="20"/>
            <w:szCs w:val="20"/>
            <w:lang w:eastAsia="en-US"/>
          </w:rPr>
          <w:t>clic</w:t>
        </w:r>
        <w:r w:rsidRPr="00523ECD">
          <w:rPr>
            <w:rStyle w:val="Hyperlink"/>
            <w:rFonts w:asciiTheme="majorHAnsi" w:eastAsia="Times New Roman" w:hAnsiTheme="majorHAnsi" w:cstheme="majorHAnsi"/>
            <w:sz w:val="20"/>
            <w:szCs w:val="20"/>
            <w:lang w:eastAsia="en-US"/>
          </w:rPr>
          <w:t>k</w:t>
        </w:r>
        <w:r w:rsidRPr="00523ECD">
          <w:rPr>
            <w:rStyle w:val="Hyperlink"/>
            <w:rFonts w:asciiTheme="majorHAnsi" w:eastAsia="Times New Roman" w:hAnsiTheme="majorHAnsi" w:cstheme="majorHAnsi"/>
            <w:sz w:val="20"/>
            <w:szCs w:val="20"/>
            <w:lang w:eastAsia="en-US"/>
          </w:rPr>
          <w:t xml:space="preserve"> </w:t>
        </w:r>
        <w:r w:rsidRPr="00523ECD">
          <w:rPr>
            <w:rStyle w:val="Hyperlink"/>
            <w:rFonts w:asciiTheme="majorHAnsi" w:eastAsia="Times New Roman" w:hAnsiTheme="majorHAnsi" w:cstheme="majorHAnsi"/>
            <w:sz w:val="20"/>
            <w:szCs w:val="20"/>
            <w:lang w:eastAsia="en-US"/>
          </w:rPr>
          <w:t>here.</w:t>
        </w:r>
      </w:hyperlink>
    </w:p>
    <w:p w:rsidR="003836AD" w:rsidRDefault="003836AD" w:rsidP="000018C5">
      <w:pPr>
        <w:shd w:val="clear" w:color="auto" w:fill="FFFFFF"/>
        <w:rPr>
          <w:rFonts w:asciiTheme="majorHAnsi" w:eastAsia="Times New Roman" w:hAnsiTheme="majorHAnsi" w:cstheme="majorHAnsi"/>
          <w:b/>
          <w:color w:val="95441D" w:themeColor="text2" w:themeTint="BF"/>
          <w:lang w:eastAsia="en-US"/>
        </w:rPr>
      </w:pPr>
      <w:r w:rsidRPr="003836AD">
        <w:rPr>
          <w:rFonts w:asciiTheme="majorHAnsi" w:eastAsia="Times New Roman" w:hAnsiTheme="majorHAnsi" w:cstheme="majorHAnsi"/>
          <w:b/>
          <w:color w:val="95441D" w:themeColor="text2" w:themeTint="BF"/>
          <w:lang w:eastAsia="en-US"/>
        </w:rPr>
        <w:t>New Federation Members</w:t>
      </w:r>
    </w:p>
    <w:p w:rsidR="003836AD" w:rsidRDefault="003836AD" w:rsidP="000018C5">
      <w:pPr>
        <w:shd w:val="clear" w:color="auto" w:fill="FFFFFF"/>
        <w:rPr>
          <w:rFonts w:asciiTheme="majorHAnsi" w:eastAsia="Times New Roman" w:hAnsiTheme="majorHAnsi" w:cstheme="majorHAnsi"/>
          <w:b/>
          <w:color w:val="95441D" w:themeColor="text2" w:themeTint="BF"/>
          <w:lang w:eastAsia="en-US"/>
        </w:rPr>
      </w:pPr>
    </w:p>
    <w:p w:rsidR="00523ECD" w:rsidRPr="00523ECD" w:rsidRDefault="003836AD" w:rsidP="000018C5">
      <w:pPr>
        <w:shd w:val="clear" w:color="auto" w:fill="FFFFFF"/>
        <w:rPr>
          <w:rFonts w:asciiTheme="majorHAnsi" w:eastAsia="Times New Roman" w:hAnsiTheme="majorHAnsi" w:cstheme="majorHAnsi"/>
          <w:lang w:eastAsia="en-US"/>
        </w:rPr>
      </w:pPr>
      <w:r>
        <w:rPr>
          <w:rFonts w:asciiTheme="majorHAnsi" w:eastAsia="Times New Roman" w:hAnsiTheme="majorHAnsi" w:cstheme="majorHAnsi"/>
          <w:lang w:eastAsia="en-US"/>
        </w:rPr>
        <w:t>The Incentive Federation wel</w:t>
      </w:r>
      <w:r w:rsidRPr="003836AD">
        <w:rPr>
          <w:rFonts w:asciiTheme="majorHAnsi" w:eastAsia="Times New Roman" w:hAnsiTheme="majorHAnsi" w:cstheme="majorHAnsi"/>
          <w:lang w:eastAsia="en-US"/>
        </w:rPr>
        <w:t xml:space="preserve">comes </w:t>
      </w:r>
      <w:r>
        <w:rPr>
          <w:rFonts w:asciiTheme="majorHAnsi" w:eastAsia="Times New Roman" w:hAnsiTheme="majorHAnsi" w:cstheme="majorHAnsi"/>
          <w:lang w:eastAsia="en-US"/>
        </w:rPr>
        <w:t xml:space="preserve">the following </w:t>
      </w:r>
      <w:r w:rsidR="000467DF">
        <w:rPr>
          <w:rFonts w:asciiTheme="majorHAnsi" w:eastAsia="Times New Roman" w:hAnsiTheme="majorHAnsi" w:cstheme="majorHAnsi"/>
          <w:lang w:eastAsia="en-US"/>
        </w:rPr>
        <w:t xml:space="preserve">new members who have joined in </w:t>
      </w:r>
      <w:r>
        <w:rPr>
          <w:rFonts w:asciiTheme="majorHAnsi" w:eastAsia="Times New Roman" w:hAnsiTheme="majorHAnsi" w:cstheme="majorHAnsi"/>
          <w:lang w:eastAsia="en-US"/>
        </w:rPr>
        <w:t>2017.</w:t>
      </w:r>
    </w:p>
    <w:p w:rsidR="00523ECD" w:rsidRDefault="00523ECD" w:rsidP="000018C5">
      <w:pPr>
        <w:shd w:val="clear" w:color="auto" w:fill="FFFFFF"/>
        <w:rPr>
          <w:rFonts w:asciiTheme="majorHAnsi" w:eastAsia="Times New Roman" w:hAnsiTheme="majorHAnsi" w:cstheme="majorHAnsi"/>
          <w:b/>
          <w:lang w:eastAsia="en-US"/>
        </w:rPr>
      </w:pPr>
    </w:p>
    <w:p w:rsidR="003836AD" w:rsidRDefault="003836AD" w:rsidP="000018C5">
      <w:pPr>
        <w:shd w:val="clear" w:color="auto" w:fill="FFFFFF"/>
        <w:rPr>
          <w:rFonts w:asciiTheme="majorHAnsi" w:hAnsiTheme="majorHAnsi" w:cstheme="majorHAnsi"/>
          <w:bCs/>
          <w:color w:val="000000"/>
          <w:shd w:val="clear" w:color="auto" w:fill="FFFFFF"/>
        </w:rPr>
      </w:pPr>
      <w:r w:rsidRPr="000467DF">
        <w:rPr>
          <w:rFonts w:asciiTheme="majorHAnsi" w:eastAsia="Times New Roman" w:hAnsiTheme="majorHAnsi" w:cstheme="majorHAnsi"/>
          <w:b/>
          <w:lang w:eastAsia="en-US"/>
        </w:rPr>
        <w:t>Advertising Specialty Institute</w:t>
      </w:r>
      <w:r>
        <w:rPr>
          <w:rFonts w:asciiTheme="majorHAnsi" w:eastAsia="Times New Roman" w:hAnsiTheme="majorHAnsi" w:cstheme="majorHAnsi"/>
          <w:lang w:eastAsia="en-US"/>
        </w:rPr>
        <w:t xml:space="preserve"> - </w:t>
      </w:r>
      <w:r w:rsidRPr="003836AD">
        <w:rPr>
          <w:rFonts w:asciiTheme="majorHAnsi" w:hAnsiTheme="majorHAnsi" w:cstheme="majorHAnsi"/>
          <w:bCs/>
          <w:color w:val="000000"/>
          <w:shd w:val="clear" w:color="auto" w:fill="FFFFFF"/>
        </w:rPr>
        <w:t>Rita Ugianskis-Fishman</w:t>
      </w:r>
    </w:p>
    <w:p w:rsidR="00523ECD" w:rsidRDefault="00523ECD" w:rsidP="000018C5">
      <w:pPr>
        <w:shd w:val="clear" w:color="auto" w:fill="FFFFFF"/>
        <w:rPr>
          <w:rFonts w:asciiTheme="majorHAnsi" w:hAnsiTheme="majorHAnsi" w:cstheme="majorHAnsi"/>
          <w:bCs/>
          <w:color w:val="000000"/>
          <w:shd w:val="clear" w:color="auto" w:fill="FFFFFF"/>
        </w:rPr>
      </w:pPr>
    </w:p>
    <w:p w:rsidR="00523ECD" w:rsidRDefault="00523ECD" w:rsidP="000018C5">
      <w:pPr>
        <w:shd w:val="clear" w:color="auto" w:fill="FFFFFF"/>
        <w:rPr>
          <w:rFonts w:asciiTheme="majorHAnsi" w:hAnsiTheme="majorHAnsi" w:cstheme="majorHAnsi"/>
          <w:bCs/>
          <w:color w:val="000000"/>
          <w:shd w:val="clear" w:color="auto" w:fill="FFFFFF"/>
        </w:rPr>
      </w:pPr>
      <w:r w:rsidRPr="00523ECD">
        <w:rPr>
          <w:rFonts w:asciiTheme="majorHAnsi" w:hAnsiTheme="majorHAnsi" w:cstheme="majorHAnsi"/>
          <w:b/>
          <w:bCs/>
          <w:color w:val="000000"/>
          <w:shd w:val="clear" w:color="auto" w:fill="FFFFFF"/>
        </w:rPr>
        <w:t>Castelli North America</w:t>
      </w:r>
      <w:r>
        <w:rPr>
          <w:rFonts w:asciiTheme="majorHAnsi" w:hAnsiTheme="majorHAnsi" w:cstheme="majorHAnsi"/>
          <w:bCs/>
          <w:color w:val="000000"/>
          <w:shd w:val="clear" w:color="auto" w:fill="FFFFFF"/>
        </w:rPr>
        <w:t xml:space="preserve"> – Fran Ford</w:t>
      </w:r>
    </w:p>
    <w:p w:rsidR="000467DF" w:rsidRDefault="000467DF" w:rsidP="000018C5">
      <w:pPr>
        <w:shd w:val="clear" w:color="auto" w:fill="FFFFFF"/>
        <w:rPr>
          <w:rFonts w:asciiTheme="majorHAnsi" w:hAnsiTheme="majorHAnsi" w:cstheme="majorHAnsi"/>
          <w:b/>
          <w:bCs/>
          <w:color w:val="000000"/>
          <w:shd w:val="clear" w:color="auto" w:fill="FFFFFF"/>
        </w:rPr>
      </w:pPr>
    </w:p>
    <w:p w:rsidR="003836AD" w:rsidRDefault="003836AD"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Citizen Watch Company of America</w:t>
      </w:r>
      <w:r>
        <w:rPr>
          <w:rFonts w:asciiTheme="majorHAnsi" w:hAnsiTheme="majorHAnsi" w:cstheme="majorHAnsi"/>
          <w:bCs/>
          <w:color w:val="000000"/>
          <w:shd w:val="clear" w:color="auto" w:fill="FFFFFF"/>
        </w:rPr>
        <w:t xml:space="preserve"> – Richard Low</w:t>
      </w:r>
    </w:p>
    <w:p w:rsidR="00476317" w:rsidRDefault="00476317" w:rsidP="000018C5">
      <w:pPr>
        <w:shd w:val="clear" w:color="auto" w:fill="FFFFFF"/>
        <w:rPr>
          <w:rFonts w:asciiTheme="majorHAnsi" w:hAnsiTheme="majorHAnsi" w:cstheme="majorHAnsi"/>
          <w:bCs/>
          <w:color w:val="000000"/>
          <w:shd w:val="clear" w:color="auto" w:fill="FFFFFF"/>
        </w:rPr>
      </w:pP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Fujifilm North America</w:t>
      </w:r>
      <w:r>
        <w:rPr>
          <w:rFonts w:asciiTheme="majorHAnsi" w:hAnsiTheme="majorHAnsi" w:cstheme="majorHAnsi"/>
          <w:bCs/>
          <w:color w:val="000000"/>
          <w:shd w:val="clear" w:color="auto" w:fill="FFFFFF"/>
        </w:rPr>
        <w:t xml:space="preserve"> – Joe Hafenscher</w:t>
      </w:r>
    </w:p>
    <w:p w:rsidR="00476317" w:rsidRDefault="00476317" w:rsidP="000018C5">
      <w:pPr>
        <w:shd w:val="clear" w:color="auto" w:fill="FFFFFF"/>
        <w:rPr>
          <w:rFonts w:asciiTheme="majorHAnsi" w:hAnsiTheme="majorHAnsi" w:cstheme="majorHAnsi"/>
          <w:bCs/>
          <w:color w:val="000000"/>
          <w:shd w:val="clear" w:color="auto" w:fill="FFFFFF"/>
        </w:rPr>
      </w:pP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Great Lakes Incentive Group</w:t>
      </w:r>
      <w:r>
        <w:rPr>
          <w:rFonts w:asciiTheme="majorHAnsi" w:hAnsiTheme="majorHAnsi" w:cstheme="majorHAnsi"/>
          <w:bCs/>
          <w:color w:val="000000"/>
          <w:shd w:val="clear" w:color="auto" w:fill="FFFFFF"/>
        </w:rPr>
        <w:t xml:space="preserve"> – Mark Oldenburg</w:t>
      </w:r>
    </w:p>
    <w:p w:rsidR="00476317" w:rsidRDefault="00476317" w:rsidP="000018C5">
      <w:pPr>
        <w:shd w:val="clear" w:color="auto" w:fill="FFFFFF"/>
        <w:rPr>
          <w:rFonts w:asciiTheme="majorHAnsi" w:hAnsiTheme="majorHAnsi" w:cstheme="majorHAnsi"/>
          <w:bCs/>
          <w:color w:val="000000"/>
          <w:shd w:val="clear" w:color="auto" w:fill="FFFFFF"/>
        </w:rPr>
      </w:pP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Indigo Watch Company</w:t>
      </w:r>
      <w:r>
        <w:rPr>
          <w:rFonts w:asciiTheme="majorHAnsi" w:hAnsiTheme="majorHAnsi" w:cstheme="majorHAnsi"/>
          <w:bCs/>
          <w:color w:val="000000"/>
          <w:shd w:val="clear" w:color="auto" w:fill="FFFFFF"/>
        </w:rPr>
        <w:t xml:space="preserve"> – Dean Resnekov</w:t>
      </w:r>
    </w:p>
    <w:p w:rsidR="00523ECD" w:rsidRDefault="00523ECD" w:rsidP="000018C5">
      <w:pPr>
        <w:shd w:val="clear" w:color="auto" w:fill="FFFFFF"/>
        <w:rPr>
          <w:rFonts w:asciiTheme="majorHAnsi" w:hAnsiTheme="majorHAnsi" w:cstheme="majorHAnsi"/>
          <w:bCs/>
          <w:color w:val="000000"/>
          <w:shd w:val="clear" w:color="auto" w:fill="FFFFFF"/>
        </w:rPr>
      </w:pPr>
    </w:p>
    <w:p w:rsidR="00523ECD" w:rsidRDefault="00523ECD" w:rsidP="000018C5">
      <w:pPr>
        <w:shd w:val="clear" w:color="auto" w:fill="FFFFFF"/>
        <w:rPr>
          <w:rFonts w:asciiTheme="majorHAnsi" w:hAnsiTheme="majorHAnsi" w:cstheme="majorHAnsi"/>
          <w:bCs/>
          <w:color w:val="000000"/>
          <w:shd w:val="clear" w:color="auto" w:fill="FFFFFF"/>
        </w:rPr>
      </w:pPr>
      <w:r w:rsidRPr="00523ECD">
        <w:rPr>
          <w:rFonts w:asciiTheme="majorHAnsi" w:hAnsiTheme="majorHAnsi" w:cstheme="majorHAnsi"/>
          <w:b/>
          <w:bCs/>
          <w:color w:val="000000"/>
          <w:shd w:val="clear" w:color="auto" w:fill="FFFFFF"/>
        </w:rPr>
        <w:t>Point Recognition</w:t>
      </w:r>
      <w:r>
        <w:rPr>
          <w:rFonts w:asciiTheme="majorHAnsi" w:hAnsiTheme="majorHAnsi" w:cstheme="majorHAnsi"/>
          <w:bCs/>
          <w:color w:val="000000"/>
          <w:shd w:val="clear" w:color="auto" w:fill="FFFFFF"/>
        </w:rPr>
        <w:t xml:space="preserve"> – Tim Geary</w:t>
      </w:r>
    </w:p>
    <w:p w:rsidR="003836AD" w:rsidRDefault="003836AD" w:rsidP="000018C5">
      <w:pPr>
        <w:shd w:val="clear" w:color="auto" w:fill="FFFFFF"/>
        <w:rPr>
          <w:rFonts w:asciiTheme="majorHAnsi" w:hAnsiTheme="majorHAnsi" w:cstheme="majorHAnsi"/>
          <w:bCs/>
          <w:color w:val="000000"/>
          <w:shd w:val="clear" w:color="auto" w:fill="FFFFFF"/>
        </w:rPr>
      </w:pPr>
    </w:p>
    <w:p w:rsidR="003836AD" w:rsidRPr="003836AD" w:rsidRDefault="003836AD" w:rsidP="000018C5">
      <w:pPr>
        <w:shd w:val="clear" w:color="auto" w:fill="FFFFFF"/>
        <w:rPr>
          <w:rFonts w:asciiTheme="majorHAnsi" w:eastAsia="Times New Roman" w:hAnsiTheme="majorHAnsi" w:cstheme="majorHAnsi"/>
          <w:lang w:eastAsia="en-US"/>
        </w:rPr>
      </w:pPr>
    </w:p>
    <w:p w:rsidR="00AC0ABB" w:rsidRDefault="00AC0ABB">
      <w:pPr>
        <w:rPr>
          <w:rFonts w:asciiTheme="majorHAnsi" w:hAnsiTheme="majorHAnsi" w:cstheme="majorHAnsi"/>
          <w:b/>
          <w:color w:val="95441D" w:themeColor="text2" w:themeTint="BF"/>
        </w:rPr>
      </w:pPr>
      <w:r w:rsidRPr="002D3945">
        <w:rPr>
          <w:rFonts w:asciiTheme="majorHAnsi" w:hAnsiTheme="majorHAnsi" w:cstheme="majorHAnsi"/>
          <w:b/>
          <w:color w:val="95441D" w:themeColor="text2" w:themeTint="BF"/>
        </w:rPr>
        <w:t>2017 Board of Directors</w:t>
      </w:r>
    </w:p>
    <w:p w:rsidR="00C53C4B" w:rsidRPr="002D3945" w:rsidRDefault="00C53C4B">
      <w:pPr>
        <w:rPr>
          <w:rFonts w:asciiTheme="majorHAnsi" w:hAnsiTheme="majorHAnsi" w:cstheme="majorHAnsi"/>
          <w:b/>
          <w:color w:val="95441D" w:themeColor="text2" w:themeTint="BF"/>
        </w:rPr>
      </w:pP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sidR="00A176E5">
        <w:rPr>
          <w:rFonts w:asciiTheme="majorHAnsi" w:hAnsiTheme="majorHAnsi" w:cstheme="majorHAnsi"/>
        </w:rPr>
        <w:t xml:space="preserve">CAE, </w:t>
      </w:r>
      <w:r>
        <w:rPr>
          <w:rFonts w:asciiTheme="majorHAnsi" w:hAnsiTheme="majorHAnsi" w:cstheme="majorHAnsi"/>
        </w:rPr>
        <w:t>President, Promotional Products Association International</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sidR="00A176E5">
        <w:rPr>
          <w:rFonts w:asciiTheme="majorHAnsi" w:hAnsiTheme="majorHAnsi" w:cstheme="majorHAnsi"/>
        </w:rPr>
        <w:t xml:space="preserve">CAE, CMP, </w:t>
      </w:r>
      <w:r>
        <w:rPr>
          <w:rFonts w:asciiTheme="majorHAnsi" w:hAnsiTheme="majorHAnsi" w:cstheme="majorHAnsi"/>
        </w:rPr>
        <w:t>Executive Director, Incentive Marketing Association</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sidR="00A176E5">
        <w:rPr>
          <w:rFonts w:asciiTheme="majorHAnsi" w:hAnsiTheme="majorHAnsi" w:cstheme="majorHAnsi"/>
        </w:rPr>
        <w:t xml:space="preserve">CIS, </w:t>
      </w:r>
      <w:r>
        <w:rPr>
          <w:rFonts w:asciiTheme="majorHAnsi" w:hAnsiTheme="majorHAnsi" w:cstheme="majorHAnsi"/>
        </w:rPr>
        <w:t>CEO, Society of Incentive Travel Excellenc</w:t>
      </w:r>
      <w:r w:rsidR="002B1396">
        <w:rPr>
          <w:rFonts w:asciiTheme="majorHAnsi" w:hAnsiTheme="majorHAnsi" w:cstheme="majorHAnsi"/>
        </w:rPr>
        <w:t>e</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sidR="00A176E5">
        <w:rPr>
          <w:rFonts w:asciiTheme="majorHAnsi" w:hAnsiTheme="majorHAnsi" w:cstheme="majorHAnsi"/>
        </w:rPr>
        <w:t xml:space="preserve">CRP, CPIM, </w:t>
      </w:r>
      <w:r>
        <w:rPr>
          <w:rFonts w:asciiTheme="majorHAnsi" w:hAnsiTheme="majorHAnsi" w:cstheme="majorHAnsi"/>
        </w:rPr>
        <w:t xml:space="preserve">Vice President, </w:t>
      </w:r>
      <w:r w:rsidR="00A176E5">
        <w:rPr>
          <w:rFonts w:asciiTheme="majorHAnsi" w:hAnsiTheme="majorHAnsi" w:cstheme="majorHAnsi"/>
        </w:rPr>
        <w:t>Marketing</w:t>
      </w:r>
      <w:r>
        <w:rPr>
          <w:rFonts w:asciiTheme="majorHAnsi" w:hAnsiTheme="majorHAnsi" w:cstheme="majorHAnsi"/>
        </w:rPr>
        <w:t xml:space="preserve">, </w:t>
      </w:r>
      <w:r w:rsidRPr="00684A01">
        <w:rPr>
          <w:rFonts w:asciiTheme="majorHAnsi" w:hAnsiTheme="majorHAnsi" w:cstheme="majorHAnsi"/>
        </w:rPr>
        <w:t>O.C. Tanner</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sidR="00A176E5">
        <w:rPr>
          <w:rFonts w:asciiTheme="majorHAnsi" w:hAnsiTheme="majorHAnsi" w:cstheme="majorHAnsi"/>
        </w:rPr>
        <w:t xml:space="preserve">CPIM, </w:t>
      </w:r>
      <w:r>
        <w:rPr>
          <w:rFonts w:asciiTheme="majorHAnsi" w:hAnsiTheme="majorHAnsi" w:cstheme="majorHAnsi"/>
        </w:rPr>
        <w:t xml:space="preserve">Senior Vice President, </w:t>
      </w:r>
      <w:r w:rsidRPr="00684A01">
        <w:rPr>
          <w:rFonts w:asciiTheme="majorHAnsi" w:hAnsiTheme="majorHAnsi" w:cstheme="majorHAnsi"/>
        </w:rPr>
        <w:t>IncentPros, Inc.</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sidR="006237F4">
        <w:rPr>
          <w:rFonts w:asciiTheme="majorHAnsi" w:hAnsiTheme="majorHAnsi" w:cstheme="majorHAnsi"/>
        </w:rPr>
        <w:t xml:space="preserve">Senior </w:t>
      </w:r>
      <w:r w:rsidR="002C6786">
        <w:rPr>
          <w:rFonts w:asciiTheme="majorHAnsi" w:hAnsiTheme="majorHAnsi" w:cstheme="majorHAnsi"/>
        </w:rPr>
        <w:t xml:space="preserve">Manager, </w:t>
      </w:r>
      <w:r w:rsidR="006237F4">
        <w:rPr>
          <w:rFonts w:asciiTheme="majorHAnsi" w:hAnsiTheme="majorHAnsi" w:cstheme="majorHAnsi"/>
        </w:rPr>
        <w:t xml:space="preserve">Canon Professional Services, </w:t>
      </w:r>
      <w:r w:rsidRPr="00684A01">
        <w:rPr>
          <w:rFonts w:asciiTheme="majorHAnsi" w:hAnsiTheme="majorHAnsi" w:cstheme="majorHAnsi"/>
        </w:rPr>
        <w:t>CanonUSA</w:t>
      </w:r>
    </w:p>
    <w:p w:rsidR="00A176E5" w:rsidRDefault="00A176E5" w:rsidP="00C53C4B">
      <w:pPr>
        <w:spacing w:line="276" w:lineRule="auto"/>
        <w:rPr>
          <w:rFonts w:asciiTheme="majorHAnsi" w:hAnsiTheme="majorHAnsi" w:cstheme="majorHAnsi"/>
        </w:rPr>
      </w:pPr>
      <w:r>
        <w:rPr>
          <w:rFonts w:asciiTheme="majorHAnsi" w:hAnsiTheme="majorHAnsi" w:cstheme="majorHAnsi"/>
        </w:rPr>
        <w:t xml:space="preserve">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p>
    <w:p w:rsidR="0038535E" w:rsidRPr="00684A01" w:rsidRDefault="0038535E" w:rsidP="00C53C4B">
      <w:pPr>
        <w:spacing w:line="276" w:lineRule="auto"/>
        <w:rPr>
          <w:rFonts w:asciiTheme="majorHAnsi" w:hAnsiTheme="majorHAnsi" w:cstheme="majorHAnsi"/>
        </w:rPr>
      </w:pP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w:t>
      </w:r>
      <w:r w:rsidR="00A176E5">
        <w:rPr>
          <w:rFonts w:asciiTheme="majorHAnsi" w:hAnsiTheme="majorHAnsi" w:cstheme="majorHAnsi"/>
        </w:rPr>
        <w:t xml:space="preserve"> CPIM,</w:t>
      </w:r>
      <w:r>
        <w:rPr>
          <w:rFonts w:asciiTheme="majorHAnsi" w:hAnsiTheme="majorHAnsi" w:cstheme="majorHAnsi"/>
        </w:rPr>
        <w:t xml:space="preserve"> </w:t>
      </w:r>
      <w:r w:rsidR="00A176E5">
        <w:rPr>
          <w:rFonts w:asciiTheme="majorHAnsi" w:hAnsiTheme="majorHAnsi" w:cstheme="majorHAnsi"/>
        </w:rPr>
        <w:t xml:space="preserve">President, </w:t>
      </w:r>
      <w:r>
        <w:rPr>
          <w:rFonts w:asciiTheme="majorHAnsi" w:hAnsiTheme="majorHAnsi" w:cstheme="majorHAnsi"/>
        </w:rPr>
        <w:t xml:space="preserve">All Star </w:t>
      </w:r>
      <w:r w:rsidR="00A176E5">
        <w:rPr>
          <w:rFonts w:asciiTheme="majorHAnsi" w:hAnsiTheme="majorHAnsi" w:cstheme="majorHAnsi"/>
        </w:rPr>
        <w:t>Incentive Marketing</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sidR="006769F5">
        <w:rPr>
          <w:rFonts w:asciiTheme="majorHAnsi" w:hAnsiTheme="majorHAnsi" w:cstheme="majorHAnsi"/>
        </w:rPr>
        <w:t>Vice President and General Manager, CultureNext</w:t>
      </w:r>
      <w:r w:rsidR="002C6786">
        <w:rPr>
          <w:rFonts w:asciiTheme="majorHAnsi" w:hAnsiTheme="majorHAnsi" w:cstheme="majorHAnsi"/>
        </w:rPr>
        <w:t xml:space="preserve">, </w:t>
      </w:r>
      <w:r w:rsidRPr="00684A01">
        <w:rPr>
          <w:rFonts w:asciiTheme="majorHAnsi" w:hAnsiTheme="majorHAnsi" w:cstheme="majorHAnsi"/>
        </w:rPr>
        <w:t>Maritz Motivation Solutions</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Peter Hart</w:t>
      </w:r>
      <w:r w:rsidRPr="00684A01">
        <w:rPr>
          <w:rFonts w:asciiTheme="majorHAnsi" w:hAnsiTheme="majorHAnsi" w:cstheme="majorHAnsi"/>
        </w:rPr>
        <w:t xml:space="preserve">, </w:t>
      </w:r>
      <w:r w:rsidR="00A176E5">
        <w:rPr>
          <w:rFonts w:asciiTheme="majorHAnsi" w:hAnsiTheme="majorHAnsi" w:cstheme="majorHAnsi"/>
        </w:rPr>
        <w:t xml:space="preserve">CRP, </w:t>
      </w:r>
      <w:r w:rsidR="002C6786">
        <w:rPr>
          <w:rFonts w:asciiTheme="majorHAnsi" w:hAnsiTheme="majorHAnsi" w:cstheme="majorHAnsi"/>
        </w:rPr>
        <w:t xml:space="preserve">CEO, </w:t>
      </w:r>
      <w:r w:rsidRPr="00684A01">
        <w:rPr>
          <w:rFonts w:asciiTheme="majorHAnsi" w:hAnsiTheme="majorHAnsi" w:cstheme="majorHAnsi"/>
        </w:rPr>
        <w:t>Rideau Recognition Solutions</w:t>
      </w:r>
    </w:p>
    <w:p w:rsidR="00FE1C30" w:rsidRDefault="00FE1C30" w:rsidP="00C53C4B">
      <w:pPr>
        <w:spacing w:line="276" w:lineRule="auto"/>
        <w:rPr>
          <w:rFonts w:asciiTheme="majorHAnsi" w:hAnsiTheme="majorHAnsi" w:cstheme="majorHAnsi"/>
        </w:rPr>
      </w:pPr>
      <w:r>
        <w:rPr>
          <w:rFonts w:asciiTheme="majorHAnsi" w:hAnsiTheme="majorHAnsi" w:cstheme="majorHAnsi"/>
        </w:rPr>
        <w:t xml:space="preserve">Executive Director </w:t>
      </w:r>
      <w:r w:rsidR="00387A00">
        <w:rPr>
          <w:rFonts w:asciiTheme="majorHAnsi" w:hAnsiTheme="majorHAnsi" w:cstheme="majorHAnsi"/>
        </w:rPr>
        <w:t>and Counsel</w:t>
      </w:r>
      <w:r>
        <w:rPr>
          <w:rFonts w:asciiTheme="majorHAnsi" w:hAnsiTheme="majorHAnsi" w:cstheme="majorHAnsi"/>
        </w:rPr>
        <w:t xml:space="preserve">– </w:t>
      </w:r>
      <w:r w:rsidRPr="00387A00">
        <w:rPr>
          <w:rFonts w:asciiTheme="majorHAnsi" w:hAnsiTheme="majorHAnsi" w:cstheme="majorHAnsi"/>
          <w:b/>
        </w:rPr>
        <w:t>George Delta</w:t>
      </w:r>
      <w:r w:rsidR="00387A00">
        <w:rPr>
          <w:rFonts w:asciiTheme="majorHAnsi" w:hAnsiTheme="majorHAnsi" w:cstheme="majorHAnsi"/>
        </w:rPr>
        <w:t>, Esquire</w:t>
      </w:r>
    </w:p>
    <w:p w:rsidR="006769F5" w:rsidRDefault="006769F5" w:rsidP="00401523">
      <w:pPr>
        <w:rPr>
          <w:rFonts w:asciiTheme="majorHAnsi" w:hAnsiTheme="majorHAnsi" w:cstheme="majorHAnsi"/>
        </w:rPr>
      </w:pPr>
    </w:p>
    <w:p w:rsidR="006769F5" w:rsidRDefault="006769F5" w:rsidP="00401523">
      <w:pPr>
        <w:rPr>
          <w:rFonts w:asciiTheme="majorHAnsi" w:hAnsiTheme="majorHAnsi" w:cstheme="majorHAnsi"/>
        </w:rPr>
      </w:pPr>
      <w:r>
        <w:rPr>
          <w:rFonts w:asciiTheme="majorHAnsi" w:hAnsiTheme="majorHAnsi" w:cstheme="majorHAnsi"/>
        </w:rPr>
        <w:t>Staff:</w:t>
      </w:r>
    </w:p>
    <w:p w:rsidR="006769F5" w:rsidRPr="00684A01" w:rsidRDefault="006769F5" w:rsidP="00401523">
      <w:pPr>
        <w:rPr>
          <w:rFonts w:asciiTheme="majorHAnsi" w:hAnsiTheme="majorHAnsi" w:cstheme="majorHAnsi"/>
        </w:rPr>
      </w:pPr>
      <w:r>
        <w:rPr>
          <w:rFonts w:asciiTheme="majorHAnsi" w:hAnsiTheme="majorHAnsi" w:cstheme="majorHAnsi"/>
        </w:rPr>
        <w:t xml:space="preserve">Managing Director, </w:t>
      </w:r>
      <w:r w:rsidRPr="00B10F3A">
        <w:rPr>
          <w:rFonts w:asciiTheme="majorHAnsi" w:hAnsiTheme="majorHAnsi" w:cstheme="majorHAnsi"/>
          <w:b/>
        </w:rPr>
        <w:t>Steve Slagle</w:t>
      </w:r>
      <w:r>
        <w:rPr>
          <w:rFonts w:asciiTheme="majorHAnsi" w:hAnsiTheme="majorHAnsi" w:cstheme="majorHAnsi"/>
        </w:rPr>
        <w:t xml:space="preserve">, CAE </w:t>
      </w:r>
    </w:p>
    <w:p w:rsidR="000D1396" w:rsidRDefault="00401523" w:rsidP="00401523">
      <w:pPr>
        <w:tabs>
          <w:tab w:val="left" w:pos="1740"/>
        </w:tabs>
      </w:pPr>
      <w:r>
        <w:tab/>
      </w:r>
    </w:p>
    <w:p w:rsidR="000238A2" w:rsidRDefault="00910A7F" w:rsidP="00A236FF">
      <w:pPr>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Questions, Concerns, Requests</w:t>
      </w:r>
    </w:p>
    <w:p w:rsidR="00A236FF" w:rsidRPr="00212FBB" w:rsidRDefault="00A236FF" w:rsidP="00A236FF">
      <w:pPr>
        <w:rPr>
          <w:rFonts w:asciiTheme="majorHAnsi" w:hAnsiTheme="majorHAnsi" w:cstheme="majorHAnsi"/>
          <w:b/>
          <w:color w:val="95441D" w:themeColor="text2" w:themeTint="BF"/>
          <w:sz w:val="24"/>
          <w:szCs w:val="24"/>
        </w:rPr>
      </w:pPr>
    </w:p>
    <w:p w:rsidR="00C53C4B" w:rsidRDefault="00910A7F" w:rsidP="00C53C4B">
      <w:pPr>
        <w:spacing w:line="276" w:lineRule="auto"/>
        <w:rPr>
          <w:rFonts w:asciiTheme="majorHAnsi" w:hAnsiTheme="majorHAnsi" w:cstheme="majorHAnsi"/>
        </w:rPr>
      </w:pPr>
      <w:r>
        <w:rPr>
          <w:rFonts w:asciiTheme="majorHAnsi" w:hAnsiTheme="majorHAnsi" w:cstheme="majorHAnsi"/>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3836AD" w:rsidRPr="00910A7F" w:rsidRDefault="00D605DC" w:rsidP="00C53C4B">
      <w:pPr>
        <w:spacing w:line="276" w:lineRule="auto"/>
        <w:rPr>
          <w:rFonts w:asciiTheme="majorHAnsi" w:hAnsiTheme="majorHAnsi" w:cstheme="majorHAnsi"/>
        </w:rPr>
      </w:pPr>
      <w:r>
        <w:rPr>
          <w:rFonts w:asciiTheme="majorHAnsi" w:hAnsiTheme="majorHAnsi" w:cstheme="majorHAnsi"/>
        </w:rPr>
        <w:t xml:space="preserve">Contact: Steve Slagle, </w:t>
      </w:r>
      <w:r w:rsidR="007462B7">
        <w:rPr>
          <w:rFonts w:asciiTheme="majorHAnsi" w:hAnsiTheme="majorHAnsi" w:cstheme="majorHAnsi"/>
        </w:rPr>
        <w:t xml:space="preserve">IFI </w:t>
      </w:r>
      <w:r>
        <w:rPr>
          <w:rFonts w:asciiTheme="majorHAnsi" w:hAnsiTheme="majorHAnsi" w:cstheme="majorHAnsi"/>
        </w:rPr>
        <w:t>Managing Director</w:t>
      </w:r>
      <w:r w:rsidR="007462B7">
        <w:rPr>
          <w:rFonts w:asciiTheme="majorHAnsi" w:hAnsiTheme="majorHAnsi" w:cstheme="majorHAnsi"/>
        </w:rPr>
        <w:t>,</w:t>
      </w:r>
      <w:r>
        <w:rPr>
          <w:rFonts w:asciiTheme="majorHAnsi" w:hAnsiTheme="majorHAnsi" w:cstheme="majorHAnsi"/>
        </w:rPr>
        <w:t xml:space="preserve"> </w:t>
      </w:r>
      <w:r w:rsidRPr="00A730C4">
        <w:rPr>
          <w:rFonts w:asciiTheme="majorHAnsi" w:hAnsiTheme="majorHAnsi" w:cstheme="majorHAnsi"/>
          <w:color w:val="95441D" w:themeColor="text2" w:themeTint="BF"/>
        </w:rPr>
        <w:t xml:space="preserve">at </w:t>
      </w:r>
      <w:hyperlink r:id="rId11" w:history="1">
        <w:r w:rsidR="007462B7" w:rsidRPr="00A730C4">
          <w:rPr>
            <w:rStyle w:val="Hyperlink"/>
            <w:rFonts w:asciiTheme="majorHAnsi" w:hAnsiTheme="majorHAnsi" w:cstheme="majorHAnsi"/>
            <w:color w:val="95441D" w:themeColor="text2" w:themeTint="BF"/>
          </w:rPr>
          <w:t>steves3309@gmail.com</w:t>
        </w:r>
      </w:hyperlink>
      <w:r w:rsidR="002650E2">
        <w:rPr>
          <w:rFonts w:asciiTheme="majorHAnsi" w:hAnsiTheme="majorHAnsi" w:cstheme="majorHAnsi"/>
        </w:rPr>
        <w:t xml:space="preserve"> or 864-710-6739.</w:t>
      </w: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17" w:rsidRDefault="00797317">
      <w:r>
        <w:separator/>
      </w:r>
    </w:p>
  </w:endnote>
  <w:endnote w:type="continuationSeparator" w:id="0">
    <w:p w:rsidR="00797317" w:rsidRDefault="0079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17" w:rsidRDefault="00797317">
      <w:r>
        <w:separator/>
      </w:r>
    </w:p>
  </w:footnote>
  <w:footnote w:type="continuationSeparator" w:id="0">
    <w:p w:rsidR="00797317" w:rsidRDefault="0079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18C5"/>
    <w:rsid w:val="00015A69"/>
    <w:rsid w:val="00017A4B"/>
    <w:rsid w:val="000238A2"/>
    <w:rsid w:val="000364EF"/>
    <w:rsid w:val="000467DF"/>
    <w:rsid w:val="000511E6"/>
    <w:rsid w:val="0008445B"/>
    <w:rsid w:val="000C6556"/>
    <w:rsid w:val="000D06CD"/>
    <w:rsid w:val="000D1396"/>
    <w:rsid w:val="0011361C"/>
    <w:rsid w:val="0013193B"/>
    <w:rsid w:val="001663AF"/>
    <w:rsid w:val="001872A2"/>
    <w:rsid w:val="001E04BB"/>
    <w:rsid w:val="00212FBB"/>
    <w:rsid w:val="002650E2"/>
    <w:rsid w:val="00295BD8"/>
    <w:rsid w:val="002B1396"/>
    <w:rsid w:val="002C6786"/>
    <w:rsid w:val="002D3945"/>
    <w:rsid w:val="003177A2"/>
    <w:rsid w:val="003836AD"/>
    <w:rsid w:val="0038535E"/>
    <w:rsid w:val="00387A00"/>
    <w:rsid w:val="003E54EB"/>
    <w:rsid w:val="00401523"/>
    <w:rsid w:val="004058D2"/>
    <w:rsid w:val="00420F9D"/>
    <w:rsid w:val="00426B51"/>
    <w:rsid w:val="00475B24"/>
    <w:rsid w:val="00476317"/>
    <w:rsid w:val="004B26CC"/>
    <w:rsid w:val="004D6C52"/>
    <w:rsid w:val="005127F9"/>
    <w:rsid w:val="00523ECD"/>
    <w:rsid w:val="005F3C73"/>
    <w:rsid w:val="006225B1"/>
    <w:rsid w:val="006237F4"/>
    <w:rsid w:val="006769F5"/>
    <w:rsid w:val="00684A01"/>
    <w:rsid w:val="006F3307"/>
    <w:rsid w:val="007462B7"/>
    <w:rsid w:val="00775BD1"/>
    <w:rsid w:val="0077658D"/>
    <w:rsid w:val="00797317"/>
    <w:rsid w:val="007C11C9"/>
    <w:rsid w:val="007E64D5"/>
    <w:rsid w:val="007F27D0"/>
    <w:rsid w:val="00804D1B"/>
    <w:rsid w:val="008504FB"/>
    <w:rsid w:val="008956E6"/>
    <w:rsid w:val="008A4A80"/>
    <w:rsid w:val="008B254D"/>
    <w:rsid w:val="008F671F"/>
    <w:rsid w:val="00910A7F"/>
    <w:rsid w:val="00927680"/>
    <w:rsid w:val="009C1CC2"/>
    <w:rsid w:val="00A00C5A"/>
    <w:rsid w:val="00A059A0"/>
    <w:rsid w:val="00A176E5"/>
    <w:rsid w:val="00A209F2"/>
    <w:rsid w:val="00A236FF"/>
    <w:rsid w:val="00A620D1"/>
    <w:rsid w:val="00A623BC"/>
    <w:rsid w:val="00A66A12"/>
    <w:rsid w:val="00A730C4"/>
    <w:rsid w:val="00A80826"/>
    <w:rsid w:val="00A82319"/>
    <w:rsid w:val="00AA3BD0"/>
    <w:rsid w:val="00AC0ABB"/>
    <w:rsid w:val="00B10F3A"/>
    <w:rsid w:val="00B430C3"/>
    <w:rsid w:val="00B75267"/>
    <w:rsid w:val="00B84F3A"/>
    <w:rsid w:val="00BA0497"/>
    <w:rsid w:val="00BA0A22"/>
    <w:rsid w:val="00BB6673"/>
    <w:rsid w:val="00BC6B81"/>
    <w:rsid w:val="00BD05A2"/>
    <w:rsid w:val="00BE0D3E"/>
    <w:rsid w:val="00C50E0D"/>
    <w:rsid w:val="00C53C4B"/>
    <w:rsid w:val="00CC4D55"/>
    <w:rsid w:val="00D458DD"/>
    <w:rsid w:val="00D46161"/>
    <w:rsid w:val="00D605DC"/>
    <w:rsid w:val="00D6208A"/>
    <w:rsid w:val="00D7088B"/>
    <w:rsid w:val="00D70909"/>
    <w:rsid w:val="00D94740"/>
    <w:rsid w:val="00DC1155"/>
    <w:rsid w:val="00E6150D"/>
    <w:rsid w:val="00E97080"/>
    <w:rsid w:val="00F03248"/>
    <w:rsid w:val="00F1573F"/>
    <w:rsid w:val="00F31A61"/>
    <w:rsid w:val="00F6629D"/>
    <w:rsid w:val="00FD585D"/>
    <w:rsid w:val="00FE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51"/>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s3309@gmail.com" TargetMode="External"/><Relationship Id="rId5" Type="http://schemas.openxmlformats.org/officeDocument/2006/relationships/webSettings" Target="webSettings.xml"/><Relationship Id="rId10" Type="http://schemas.openxmlformats.org/officeDocument/2006/relationships/hyperlink" Target="http://theirf.org/research/how-to-effectively-harness-behavioral-economics-to-drive-employee-performance-and-engagement/2072/" TargetMode="External"/><Relationship Id="rId4" Type="http://schemas.openxmlformats.org/officeDocument/2006/relationships/settings" Target="settings.xml"/><Relationship Id="rId9" Type="http://schemas.openxmlformats.org/officeDocument/2006/relationships/hyperlink" Target="http://pubs.ppai.org/2017/05/irf-releases-study-on-applying-behavioral-economics-to-incentive-pro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52</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6</cp:revision>
  <cp:lastPrinted>2017-01-06T18:59:00Z</cp:lastPrinted>
  <dcterms:created xsi:type="dcterms:W3CDTF">2017-05-12T18:28:00Z</dcterms:created>
  <dcterms:modified xsi:type="dcterms:W3CDTF">2017-05-12T19:20:00Z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