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37840" w14:textId="77777777" w:rsidR="00B12A16" w:rsidRPr="00B12024" w:rsidRDefault="00B12A16">
      <w:pPr>
        <w:pStyle w:val="Title"/>
      </w:pPr>
      <w:r w:rsidRPr="00B12024">
        <w:t xml:space="preserve">WASHINGTON </w:t>
      </w:r>
      <w:r w:rsidR="00DE174E" w:rsidRPr="00B12024">
        <w:t>UPDATE</w:t>
      </w:r>
    </w:p>
    <w:p w14:paraId="3ED912D5" w14:textId="77777777" w:rsidR="00B12A16" w:rsidRPr="00B12024" w:rsidRDefault="00B12A16">
      <w:pPr>
        <w:rPr>
          <w:sz w:val="44"/>
          <w:szCs w:val="44"/>
        </w:rPr>
      </w:pPr>
    </w:p>
    <w:p w14:paraId="28B43837" w14:textId="77777777" w:rsidR="00B12A16" w:rsidRPr="00B12024" w:rsidRDefault="00B12A16">
      <w:pPr>
        <w:rPr>
          <w:sz w:val="18"/>
          <w:szCs w:val="18"/>
        </w:rPr>
      </w:pPr>
      <w:r w:rsidRPr="00B12024">
        <w:rPr>
          <w:sz w:val="18"/>
          <w:szCs w:val="18"/>
        </w:rPr>
        <w:tab/>
        <w:t>Incentive Federation, Inc.</w:t>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t>George B. Delta, Esq.</w:t>
      </w:r>
    </w:p>
    <w:p w14:paraId="24DD70B8" w14:textId="533D6A10" w:rsidR="00B12A16" w:rsidRPr="00B12024" w:rsidRDefault="00B12A16">
      <w:pPr>
        <w:rPr>
          <w:sz w:val="18"/>
          <w:szCs w:val="18"/>
        </w:rPr>
      </w:pPr>
      <w:r w:rsidRPr="00B12024">
        <w:rPr>
          <w:sz w:val="18"/>
          <w:szCs w:val="18"/>
        </w:rPr>
        <w:tab/>
      </w:r>
      <w:r w:rsidR="00F06D26">
        <w:rPr>
          <w:sz w:val="18"/>
          <w:szCs w:val="18"/>
        </w:rPr>
        <w:t>June</w:t>
      </w:r>
      <w:r w:rsidR="008F3BB2">
        <w:rPr>
          <w:sz w:val="18"/>
          <w:szCs w:val="18"/>
        </w:rPr>
        <w:t xml:space="preserve"> </w:t>
      </w:r>
      <w:r w:rsidR="00F06D26">
        <w:rPr>
          <w:sz w:val="18"/>
          <w:szCs w:val="18"/>
        </w:rPr>
        <w:t>2</w:t>
      </w:r>
      <w:r w:rsidR="009E0D0B">
        <w:rPr>
          <w:sz w:val="18"/>
          <w:szCs w:val="18"/>
        </w:rPr>
        <w:t>1</w:t>
      </w:r>
      <w:r w:rsidR="00DE174E" w:rsidRPr="00B12024">
        <w:rPr>
          <w:sz w:val="18"/>
          <w:szCs w:val="18"/>
        </w:rPr>
        <w:t xml:space="preserve">, </w:t>
      </w:r>
      <w:r w:rsidRPr="00B12024">
        <w:rPr>
          <w:sz w:val="18"/>
          <w:szCs w:val="18"/>
        </w:rPr>
        <w:t>20</w:t>
      </w:r>
      <w:r w:rsidR="007C0E3F">
        <w:rPr>
          <w:sz w:val="18"/>
          <w:szCs w:val="18"/>
        </w:rPr>
        <w:t>1</w:t>
      </w:r>
      <w:r w:rsidR="009E0D0B">
        <w:rPr>
          <w:sz w:val="18"/>
          <w:szCs w:val="18"/>
        </w:rPr>
        <w:t>9</w:t>
      </w:r>
      <w:r w:rsidR="00B31E41" w:rsidRPr="00B12024">
        <w:rPr>
          <w:sz w:val="18"/>
          <w:szCs w:val="18"/>
        </w:rPr>
        <w:tab/>
      </w:r>
      <w:r w:rsidR="00B31E41" w:rsidRPr="00B12024">
        <w:rPr>
          <w:sz w:val="18"/>
          <w:szCs w:val="18"/>
        </w:rPr>
        <w:tab/>
      </w:r>
      <w:r w:rsidR="00B31E41" w:rsidRPr="00B12024">
        <w:rPr>
          <w:sz w:val="18"/>
          <w:szCs w:val="18"/>
        </w:rPr>
        <w:tab/>
      </w:r>
      <w:r w:rsidR="00B31E41" w:rsidRPr="00B12024">
        <w:rPr>
          <w:sz w:val="18"/>
          <w:szCs w:val="18"/>
        </w:rPr>
        <w:tab/>
      </w:r>
      <w:r w:rsidR="007C0E3F">
        <w:rPr>
          <w:sz w:val="18"/>
          <w:szCs w:val="18"/>
        </w:rPr>
        <w:tab/>
      </w:r>
      <w:r w:rsidR="007C0E3F">
        <w:rPr>
          <w:sz w:val="18"/>
          <w:szCs w:val="18"/>
        </w:rPr>
        <w:tab/>
      </w:r>
      <w:r w:rsidR="007C0E3F">
        <w:rPr>
          <w:sz w:val="18"/>
          <w:szCs w:val="18"/>
        </w:rPr>
        <w:tab/>
        <w:t>(202</w:t>
      </w:r>
      <w:r w:rsidRPr="00B12024">
        <w:rPr>
          <w:sz w:val="18"/>
          <w:szCs w:val="18"/>
        </w:rPr>
        <w:t xml:space="preserve">) </w:t>
      </w:r>
      <w:r w:rsidR="007C0E3F">
        <w:rPr>
          <w:sz w:val="18"/>
          <w:szCs w:val="18"/>
        </w:rPr>
        <w:t>393-0041</w:t>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rPr>
        <w:tab/>
      </w:r>
      <w:r w:rsidRPr="00B12024">
        <w:rPr>
          <w:sz w:val="18"/>
          <w:szCs w:val="18"/>
          <w:u w:val="single"/>
        </w:rPr>
        <w:t>gdelta@</w:t>
      </w:r>
      <w:r w:rsidR="007C0E3F">
        <w:rPr>
          <w:sz w:val="18"/>
          <w:szCs w:val="18"/>
          <w:u w:val="single"/>
        </w:rPr>
        <w:t>deltalaw.net</w:t>
      </w:r>
    </w:p>
    <w:p w14:paraId="5E3A1B68" w14:textId="77777777" w:rsidR="00B12A16" w:rsidRPr="007459E1" w:rsidRDefault="00B12A16"/>
    <w:p w14:paraId="763A5971" w14:textId="77777777" w:rsidR="0054025A" w:rsidRPr="007459E1" w:rsidRDefault="0054025A"/>
    <w:p w14:paraId="7823D25E" w14:textId="3ACD0F93" w:rsidR="009E0D0B" w:rsidRPr="007459E1" w:rsidRDefault="009E0D0B" w:rsidP="009E0D0B">
      <w:pPr>
        <w:jc w:val="center"/>
      </w:pPr>
      <w:r w:rsidRPr="007459E1">
        <w:t>A</w:t>
      </w:r>
      <w:r w:rsidR="00AB5EF6" w:rsidRPr="007459E1">
        <w:t>n</w:t>
      </w:r>
      <w:r w:rsidRPr="007459E1">
        <w:t xml:space="preserve"> </w:t>
      </w:r>
      <w:r w:rsidR="00F06D26" w:rsidRPr="007459E1">
        <w:t xml:space="preserve">Update </w:t>
      </w:r>
      <w:r w:rsidR="00AB5EF6" w:rsidRPr="007459E1">
        <w:t>o</w:t>
      </w:r>
      <w:r w:rsidR="00F06D26" w:rsidRPr="007459E1">
        <w:t>n Sales and Use</w:t>
      </w:r>
    </w:p>
    <w:p w14:paraId="1AC82DD4" w14:textId="3AA42A4B" w:rsidR="00F06D26" w:rsidRPr="007459E1" w:rsidRDefault="00F06D26" w:rsidP="009E0D0B">
      <w:pPr>
        <w:jc w:val="center"/>
      </w:pPr>
      <w:r w:rsidRPr="007459E1">
        <w:t>Tax</w:t>
      </w:r>
      <w:r w:rsidR="00F227C2" w:rsidRPr="007459E1">
        <w:t xml:space="preserve"> Collection</w:t>
      </w:r>
      <w:r w:rsidRPr="007459E1">
        <w:t xml:space="preserve"> After </w:t>
      </w:r>
      <w:r w:rsidRPr="007459E1">
        <w:rPr>
          <w:i/>
          <w:iCs/>
        </w:rPr>
        <w:t>Wayfa</w:t>
      </w:r>
      <w:r w:rsidR="00F227C2" w:rsidRPr="007459E1">
        <w:rPr>
          <w:i/>
          <w:iCs/>
        </w:rPr>
        <w:t>i</w:t>
      </w:r>
      <w:r w:rsidRPr="007459E1">
        <w:rPr>
          <w:i/>
          <w:iCs/>
        </w:rPr>
        <w:t>r</w:t>
      </w:r>
    </w:p>
    <w:p w14:paraId="6ADE2B34" w14:textId="77777777" w:rsidR="009E0D0B" w:rsidRPr="007459E1" w:rsidRDefault="009E0D0B" w:rsidP="009E0D0B">
      <w:pPr>
        <w:jc w:val="center"/>
      </w:pPr>
    </w:p>
    <w:p w14:paraId="0A9B904B" w14:textId="77777777" w:rsidR="009E0D0B" w:rsidRPr="007459E1" w:rsidRDefault="009E0D0B" w:rsidP="009E0D0B">
      <w:pPr>
        <w:jc w:val="both"/>
      </w:pPr>
    </w:p>
    <w:p w14:paraId="28D57EDF" w14:textId="0EC96877" w:rsidR="00CD2055" w:rsidRPr="007459E1" w:rsidRDefault="007459E1" w:rsidP="007459E1">
      <w:pPr>
        <w:ind w:firstLine="720"/>
        <w:jc w:val="both"/>
        <w:rPr>
          <w:color w:val="1C2022"/>
          <w:shd w:val="clear" w:color="auto" w:fill="FFFFFF"/>
        </w:rPr>
      </w:pPr>
      <w:r>
        <w:t>W</w:t>
      </w:r>
      <w:r w:rsidRPr="007459E1">
        <w:t xml:space="preserve">hen a consumer in Virginia or New York purchases a sweater from L.L. Bean’s catalogue, a taxable transaction has taken place.  Because the sweater is being shipped to New York or Virginia, </w:t>
      </w:r>
      <w:r w:rsidR="00921614">
        <w:t xml:space="preserve">however, </w:t>
      </w:r>
      <w:r w:rsidRPr="007459E1">
        <w:t xml:space="preserve">there is no sales tax liability to Maine, where L.L. Bean is located.  </w:t>
      </w:r>
      <w:r w:rsidR="00D550BE">
        <w:t xml:space="preserve">The reason for this is that the </w:t>
      </w:r>
      <w:r w:rsidR="00921614">
        <w:t>interstate c</w:t>
      </w:r>
      <w:r w:rsidR="00D550BE">
        <w:t xml:space="preserve">ommerce </w:t>
      </w:r>
      <w:r w:rsidR="00921614">
        <w:t>c</w:t>
      </w:r>
      <w:r w:rsidR="00D550BE">
        <w:t>lause and the Fourteenth Amendment have been interpreted to prohibit a tax on a sale that takes place in another state, that is, the state where the consumer resides and into which the goods or merchandise are being shipped.  Nonetheless, t</w:t>
      </w:r>
      <w:r w:rsidRPr="007459E1">
        <w:t xml:space="preserve">he consumer is liable for </w:t>
      </w:r>
      <w:r w:rsidR="00D550BE">
        <w:t>a</w:t>
      </w:r>
      <w:r w:rsidRPr="007459E1">
        <w:t xml:space="preserve"> use tax </w:t>
      </w:r>
      <w:r w:rsidR="00D550BE">
        <w:t xml:space="preserve">(instead of a sales tax) </w:t>
      </w:r>
      <w:r w:rsidRPr="007459E1">
        <w:t xml:space="preserve">on the cost of the sweater to New York or Virginia, because he or she will ‘‘use’’ the sweater in that state. Thus, the use tax fills a gap when the sales tax does not apply. Although many </w:t>
      </w:r>
      <w:r w:rsidR="00B356E5">
        <w:t xml:space="preserve">or </w:t>
      </w:r>
      <w:r w:rsidR="00921614">
        <w:t xml:space="preserve">almost all </w:t>
      </w:r>
      <w:r w:rsidRPr="007459E1">
        <w:t xml:space="preserve">consumers have paid the use tax, few were aware at the time that they were doing so.  </w:t>
      </w:r>
    </w:p>
    <w:p w14:paraId="055F70C6" w14:textId="39761BD8" w:rsidR="007459E1" w:rsidRPr="007459E1" w:rsidRDefault="007459E1" w:rsidP="007459E1">
      <w:pPr>
        <w:jc w:val="both"/>
        <w:rPr>
          <w:color w:val="1C2022"/>
          <w:shd w:val="clear" w:color="auto" w:fill="FFFFFF"/>
        </w:rPr>
      </w:pPr>
    </w:p>
    <w:p w14:paraId="031704FD" w14:textId="01AD6DF9" w:rsidR="007459E1" w:rsidRDefault="00D550BE" w:rsidP="007459E1">
      <w:pPr>
        <w:ind w:firstLine="720"/>
        <w:jc w:val="both"/>
      </w:pPr>
      <w:r>
        <w:t xml:space="preserve">For example, </w:t>
      </w:r>
      <w:r w:rsidR="007459E1" w:rsidRPr="007459E1">
        <w:t xml:space="preserve">a consumer who purchases a car in New Jersey but is a resident of New York, or a person who buys a car in Maryland but is a resident of Virginia, has to pay a use tax when he or she registers the vehicle in the state of residence. </w:t>
      </w:r>
      <w:r>
        <w:t xml:space="preserve"> </w:t>
      </w:r>
      <w:r w:rsidR="007459E1" w:rsidRPr="007459E1">
        <w:t xml:space="preserve">The problem with the use tax </w:t>
      </w:r>
      <w:r>
        <w:t xml:space="preserve">had </w:t>
      </w:r>
      <w:r w:rsidR="007459E1" w:rsidRPr="007459E1">
        <w:t>arise</w:t>
      </w:r>
      <w:r>
        <w:t>n</w:t>
      </w:r>
      <w:r w:rsidR="007459E1" w:rsidRPr="007459E1">
        <w:t xml:space="preserve"> </w:t>
      </w:r>
      <w:r w:rsidR="003B4C34">
        <w:t xml:space="preserve">in the past </w:t>
      </w:r>
      <w:r w:rsidR="007459E1" w:rsidRPr="007459E1">
        <w:t xml:space="preserve">in </w:t>
      </w:r>
      <w:r w:rsidR="00921614">
        <w:t xml:space="preserve">instances </w:t>
      </w:r>
      <w:r w:rsidR="007459E1" w:rsidRPr="007459E1">
        <w:t>where the state lacks a practical way to make the purchaser pay the use tax (</w:t>
      </w:r>
      <w:r w:rsidR="007459E1" w:rsidRPr="003B4C34">
        <w:rPr>
          <w:i/>
          <w:iCs/>
        </w:rPr>
        <w:t>i.e.</w:t>
      </w:r>
      <w:r w:rsidR="007459E1" w:rsidRPr="007459E1">
        <w:t xml:space="preserve">, when registration of the item is not feasible). For example, when consumers </w:t>
      </w:r>
      <w:r w:rsidR="003B4C34">
        <w:t xml:space="preserve">had </w:t>
      </w:r>
      <w:r w:rsidR="007459E1" w:rsidRPr="007459E1">
        <w:t>purchase</w:t>
      </w:r>
      <w:r w:rsidR="003B4C34">
        <w:t>d</w:t>
      </w:r>
      <w:r w:rsidR="007459E1" w:rsidRPr="007459E1">
        <w:t xml:space="preserve"> smaller items, such as mail-order goods, they </w:t>
      </w:r>
      <w:r w:rsidR="003B4C34">
        <w:t xml:space="preserve">would </w:t>
      </w:r>
      <w:r w:rsidR="007459E1" w:rsidRPr="007459E1">
        <w:t>rarely pay the use tax on such items.</w:t>
      </w:r>
      <w:r w:rsidR="003B4C34">
        <w:t xml:space="preserve">  </w:t>
      </w:r>
      <w:r w:rsidR="007459E1" w:rsidRPr="007459E1">
        <w:t xml:space="preserve">As a result, unless direct marketers </w:t>
      </w:r>
      <w:r w:rsidR="003B4C34">
        <w:t xml:space="preserve">or other </w:t>
      </w:r>
      <w:r w:rsidR="00921614">
        <w:t xml:space="preserve">remote </w:t>
      </w:r>
      <w:r w:rsidR="003B4C34">
        <w:t xml:space="preserve">sellers </w:t>
      </w:r>
      <w:r w:rsidR="00921614">
        <w:t>we</w:t>
      </w:r>
      <w:r w:rsidR="007459E1" w:rsidRPr="007459E1">
        <w:t>re required to collect the use tax from consumers and remit payment to the various states, the use tax remain</w:t>
      </w:r>
      <w:r w:rsidR="003B4C34">
        <w:t>ed</w:t>
      </w:r>
      <w:r w:rsidR="007459E1" w:rsidRPr="007459E1">
        <w:t xml:space="preserve"> largely uncollected.</w:t>
      </w:r>
    </w:p>
    <w:p w14:paraId="73B101D7" w14:textId="68A07B88" w:rsidR="003B4C34" w:rsidRDefault="003B4C34" w:rsidP="007459E1">
      <w:pPr>
        <w:ind w:firstLine="720"/>
        <w:jc w:val="both"/>
      </w:pPr>
    </w:p>
    <w:p w14:paraId="14942021" w14:textId="5A21119C" w:rsidR="00B41FB5" w:rsidRDefault="006D72B9" w:rsidP="00B41FB5">
      <w:pPr>
        <w:ind w:firstLine="720"/>
        <w:jc w:val="both"/>
      </w:pPr>
      <w:r>
        <w:t xml:space="preserve">In 2018, the Supreme Court addressed the problem of use tax collection by ruling in </w:t>
      </w:r>
      <w:r w:rsidRPr="006D72B9">
        <w:rPr>
          <w:i/>
          <w:iCs/>
        </w:rPr>
        <w:t>South Dakota v. Wayfair</w:t>
      </w:r>
      <w:r>
        <w:t xml:space="preserve"> t</w:t>
      </w:r>
      <w:r w:rsidR="003B4C34">
        <w:t xml:space="preserve">hat </w:t>
      </w:r>
      <w:r>
        <w:t xml:space="preserve">a state could require any remote seller who has an economic connection with it to collect and remit its use tax for sales to purchasers within that state.  In doing so, the Supreme Court struck down its physical presence requirement that had been in effect since </w:t>
      </w:r>
      <w:r w:rsidR="00921614">
        <w:t xml:space="preserve">its 1967 decision in </w:t>
      </w:r>
      <w:r w:rsidR="00921614" w:rsidRPr="00921614">
        <w:rPr>
          <w:i/>
          <w:iCs/>
        </w:rPr>
        <w:t xml:space="preserve">National </w:t>
      </w:r>
      <w:proofErr w:type="spellStart"/>
      <w:r w:rsidR="00921614" w:rsidRPr="00921614">
        <w:rPr>
          <w:i/>
          <w:iCs/>
        </w:rPr>
        <w:t>Bellas</w:t>
      </w:r>
      <w:proofErr w:type="spellEnd"/>
      <w:r w:rsidR="00921614" w:rsidRPr="00921614">
        <w:rPr>
          <w:i/>
          <w:iCs/>
        </w:rPr>
        <w:t xml:space="preserve"> Hess</w:t>
      </w:r>
      <w:r w:rsidR="00921614">
        <w:t xml:space="preserve"> (reaffirmed in its 1992 </w:t>
      </w:r>
      <w:r w:rsidR="00921614" w:rsidRPr="00921614">
        <w:rPr>
          <w:i/>
          <w:iCs/>
        </w:rPr>
        <w:t>Quill</w:t>
      </w:r>
      <w:r w:rsidR="00921614">
        <w:t xml:space="preserve"> decision),</w:t>
      </w:r>
      <w:r>
        <w:t xml:space="preserve"> </w:t>
      </w:r>
      <w:r w:rsidR="00921614">
        <w:t xml:space="preserve">upon </w:t>
      </w:r>
      <w:r>
        <w:t xml:space="preserve">which remote sellers had relied to </w:t>
      </w:r>
      <w:r w:rsidR="006F0A6D">
        <w:t>avoid collecting use tax on sales to customers in s</w:t>
      </w:r>
      <w:r w:rsidR="00E552D4">
        <w:t>t</w:t>
      </w:r>
      <w:r w:rsidR="006F0A6D">
        <w:t>ates in many instances.</w:t>
      </w:r>
    </w:p>
    <w:p w14:paraId="719127CF" w14:textId="77777777" w:rsidR="00B41FB5" w:rsidRDefault="00B41FB5" w:rsidP="00B41FB5">
      <w:pPr>
        <w:jc w:val="both"/>
      </w:pPr>
    </w:p>
    <w:p w14:paraId="4B0F2B34" w14:textId="77777777" w:rsidR="00B41FB5" w:rsidRDefault="00A16ABC" w:rsidP="00B41FB5">
      <w:pPr>
        <w:ind w:firstLine="720"/>
        <w:jc w:val="both"/>
      </w:pPr>
      <w:r w:rsidRPr="0023661E">
        <w:t xml:space="preserve">The </w:t>
      </w:r>
      <w:r w:rsidR="00B41FB5" w:rsidRPr="00B41FB5">
        <w:rPr>
          <w:i/>
          <w:iCs/>
        </w:rPr>
        <w:t>Wayfair</w:t>
      </w:r>
      <w:r w:rsidR="00B41FB5">
        <w:t xml:space="preserve"> </w:t>
      </w:r>
      <w:r w:rsidRPr="0023661E">
        <w:t>case involve</w:t>
      </w:r>
      <w:r w:rsidR="00B41FB5">
        <w:t>d</w:t>
      </w:r>
      <w:r w:rsidRPr="0023661E">
        <w:t xml:space="preserve"> South Dakota</w:t>
      </w:r>
      <w:r>
        <w:t>’</w:t>
      </w:r>
      <w:r w:rsidRPr="0023661E">
        <w:t xml:space="preserve">s economic nexus law, </w:t>
      </w:r>
      <w:r>
        <w:t xml:space="preserve">which </w:t>
      </w:r>
      <w:r w:rsidRPr="0023661E">
        <w:t xml:space="preserve">requires out-of-state retailers with “economic presence” in the state, </w:t>
      </w:r>
      <w:r w:rsidRPr="0023661E">
        <w:rPr>
          <w:i/>
        </w:rPr>
        <w:t>i.e.</w:t>
      </w:r>
      <w:r w:rsidRPr="0023661E">
        <w:t xml:space="preserve">, those with retail sales of at least $100,000 </w:t>
      </w:r>
      <w:r w:rsidRPr="00B41FB5">
        <w:rPr>
          <w:u w:val="single"/>
        </w:rPr>
        <w:t>or</w:t>
      </w:r>
      <w:r w:rsidRPr="0023661E">
        <w:t xml:space="preserve"> with at least 200 transactions annually with South Dakota residents, to collect and remit sales and use taxes effective May 1, 2016.</w:t>
      </w:r>
      <w:r>
        <w:t xml:space="preserve">  As such, the South Dakota statute exempts small merchants.  Moreover, the statute provides that it would be applied </w:t>
      </w:r>
      <w:r>
        <w:lastRenderedPageBreak/>
        <w:t xml:space="preserve">prospectively only if its constitutionality is upheld.  </w:t>
      </w:r>
      <w:r w:rsidRPr="0023661E">
        <w:t xml:space="preserve">In overturning </w:t>
      </w:r>
      <w:r w:rsidRPr="0023661E">
        <w:rPr>
          <w:i/>
        </w:rPr>
        <w:t xml:space="preserve">National </w:t>
      </w:r>
      <w:proofErr w:type="spellStart"/>
      <w:r w:rsidRPr="0023661E">
        <w:rPr>
          <w:i/>
        </w:rPr>
        <w:t>Bellas</w:t>
      </w:r>
      <w:proofErr w:type="spellEnd"/>
      <w:r w:rsidRPr="0023661E">
        <w:rPr>
          <w:i/>
        </w:rPr>
        <w:t xml:space="preserve"> Hess</w:t>
      </w:r>
      <w:r>
        <w:t xml:space="preserve"> and </w:t>
      </w:r>
      <w:r w:rsidRPr="0023661E">
        <w:rPr>
          <w:i/>
        </w:rPr>
        <w:t>Quill</w:t>
      </w:r>
      <w:r>
        <w:t xml:space="preserve">, </w:t>
      </w:r>
      <w:r w:rsidRPr="0023661E">
        <w:t xml:space="preserve">the </w:t>
      </w:r>
      <w:r>
        <w:t>c</w:t>
      </w:r>
      <w:r w:rsidRPr="0023661E">
        <w:t xml:space="preserve">ourt </w:t>
      </w:r>
      <w:r>
        <w:t xml:space="preserve">specifically held that </w:t>
      </w:r>
      <w:r w:rsidRPr="0023661E">
        <w:t xml:space="preserve">physical presence is </w:t>
      </w:r>
      <w:r w:rsidRPr="001C259D">
        <w:rPr>
          <w:u w:val="single"/>
        </w:rPr>
        <w:t>not</w:t>
      </w:r>
      <w:r w:rsidRPr="0023661E">
        <w:t xml:space="preserve"> required to meet the </w:t>
      </w:r>
      <w:r>
        <w:t>“</w:t>
      </w:r>
      <w:r w:rsidRPr="0023661E">
        <w:t>substantial nexus</w:t>
      </w:r>
      <w:r>
        <w:t>”</w:t>
      </w:r>
      <w:r w:rsidRPr="0023661E">
        <w:t xml:space="preserve"> requiremen</w:t>
      </w:r>
      <w:r w:rsidR="00B41FB5">
        <w:t xml:space="preserve">t.  </w:t>
      </w:r>
      <w:r w:rsidRPr="0023661E">
        <w:t xml:space="preserve">The </w:t>
      </w:r>
      <w:r>
        <w:t>c</w:t>
      </w:r>
      <w:r w:rsidRPr="0023661E">
        <w:t xml:space="preserve">ourt </w:t>
      </w:r>
      <w:r>
        <w:t xml:space="preserve">concluded </w:t>
      </w:r>
      <w:r w:rsidRPr="0023661E">
        <w:t xml:space="preserve">that </w:t>
      </w:r>
      <w:r>
        <w:t xml:space="preserve">South Dakota </w:t>
      </w:r>
      <w:r w:rsidRPr="0023661E">
        <w:t xml:space="preserve">had established </w:t>
      </w:r>
      <w:r>
        <w:t xml:space="preserve">that Wayfair and the other remote sellers had </w:t>
      </w:r>
      <w:r w:rsidRPr="0023661E">
        <w:t xml:space="preserve">substantial nexus </w:t>
      </w:r>
      <w:r>
        <w:t xml:space="preserve">with the state </w:t>
      </w:r>
      <w:r w:rsidRPr="0023661E">
        <w:t xml:space="preserve">through </w:t>
      </w:r>
      <w:r>
        <w:t>their “</w:t>
      </w:r>
      <w:r w:rsidRPr="0023661E">
        <w:t>extensive virtual presence</w:t>
      </w:r>
      <w:r>
        <w:t>.”</w:t>
      </w:r>
    </w:p>
    <w:p w14:paraId="0935995A" w14:textId="77777777" w:rsidR="00B41FB5" w:rsidRPr="005D6E50" w:rsidRDefault="00B41FB5" w:rsidP="00B41FB5">
      <w:pPr>
        <w:jc w:val="both"/>
      </w:pPr>
    </w:p>
    <w:p w14:paraId="0A2F952D" w14:textId="63C92276" w:rsidR="006F0A6D" w:rsidRPr="007459E1" w:rsidRDefault="00A16ABC" w:rsidP="00A16ABC">
      <w:pPr>
        <w:ind w:firstLine="720"/>
        <w:jc w:val="both"/>
      </w:pPr>
      <w:r w:rsidRPr="005D6E50">
        <w:t xml:space="preserve">Although physical presence is no longer required before a remote seller must collect and remit a state’s sales and use tax, </w:t>
      </w:r>
      <w:r w:rsidRPr="005D6E50">
        <w:rPr>
          <w:i/>
        </w:rPr>
        <w:t>Wayfair</w:t>
      </w:r>
      <w:r w:rsidRPr="005D6E50">
        <w:t xml:space="preserve"> does not provide states with a broad and absolute right to enact or enforce all types of economic nexus laws.  South Dakota</w:t>
      </w:r>
      <w:r>
        <w:t xml:space="preserve"> included </w:t>
      </w:r>
      <w:r w:rsidRPr="005D6E50">
        <w:t xml:space="preserve">several </w:t>
      </w:r>
      <w:r>
        <w:t xml:space="preserve">safeguards in its law to </w:t>
      </w:r>
      <w:r w:rsidRPr="005D6E50">
        <w:t xml:space="preserve">prevent it from </w:t>
      </w:r>
      <w:r>
        <w:t>violating the interstate commerce clause</w:t>
      </w:r>
      <w:r w:rsidRPr="005D6E50">
        <w:t>: (1) the law has a safe harbor provision</w:t>
      </w:r>
      <w:r>
        <w:t xml:space="preserve"> that permits merchants to </w:t>
      </w:r>
      <w:r w:rsidRPr="005D6E50">
        <w:t>transact</w:t>
      </w:r>
      <w:r>
        <w:t xml:space="preserve"> </w:t>
      </w:r>
      <w:r w:rsidRPr="005D6E50">
        <w:t xml:space="preserve">business in the state </w:t>
      </w:r>
      <w:r>
        <w:t xml:space="preserve">below certain </w:t>
      </w:r>
      <w:r w:rsidRPr="005D6E50">
        <w:t xml:space="preserve">specific thresholds, (2) the law is not retroactive, and (3) South Dakota is a member of the Streamlined Sales and Use Tax Agreement, which reduces administrative and compliance costs for taxpayers and even provides state-funded sales tax administration software. </w:t>
      </w:r>
      <w:r>
        <w:t xml:space="preserve"> </w:t>
      </w:r>
      <w:r w:rsidR="00001BD8">
        <w:t xml:space="preserve"> </w:t>
      </w:r>
    </w:p>
    <w:p w14:paraId="1937A95F" w14:textId="77777777" w:rsidR="00B41FB5" w:rsidRDefault="00B41FB5" w:rsidP="00B41FB5">
      <w:pPr>
        <w:jc w:val="both"/>
      </w:pPr>
    </w:p>
    <w:p w14:paraId="1693D5BA" w14:textId="77777777" w:rsidR="00A5617D" w:rsidRDefault="00B41FB5" w:rsidP="00B41FB5">
      <w:pPr>
        <w:ind w:firstLine="720"/>
        <w:jc w:val="both"/>
      </w:pPr>
      <w:r w:rsidRPr="005D6E50">
        <w:t>An important question that is lurking in the background is the impact on the incentive and overall marketplace now that the Supreme Court has modernized its state sales and use tax jurisprudence and eliminate</w:t>
      </w:r>
      <w:r>
        <w:t>d</w:t>
      </w:r>
      <w:r w:rsidRPr="005D6E50">
        <w:t xml:space="preserve"> the outmoded and illogical physical presence requirement.  </w:t>
      </w:r>
      <w:r w:rsidR="00A5617D">
        <w:t>R</w:t>
      </w:r>
      <w:r w:rsidRPr="005D6E50">
        <w:t xml:space="preserve">emote sellers </w:t>
      </w:r>
      <w:r w:rsidR="00A5617D">
        <w:t>no</w:t>
      </w:r>
      <w:r w:rsidRPr="005D6E50">
        <w:t>w</w:t>
      </w:r>
      <w:r w:rsidR="00A5617D">
        <w:t xml:space="preserve"> </w:t>
      </w:r>
      <w:r w:rsidRPr="005D6E50">
        <w:t xml:space="preserve">find themselves treated the same way as brick and mortar retailers when it comes to collecting sales and use taxes.  </w:t>
      </w:r>
    </w:p>
    <w:p w14:paraId="4AC2C192" w14:textId="77777777" w:rsidR="00A5617D" w:rsidRDefault="00A5617D" w:rsidP="00A5617D">
      <w:pPr>
        <w:jc w:val="both"/>
      </w:pPr>
    </w:p>
    <w:p w14:paraId="1B5D093A" w14:textId="145060D3" w:rsidR="00111AEB" w:rsidRDefault="00A5617D" w:rsidP="00B41FB5">
      <w:pPr>
        <w:ind w:firstLine="720"/>
        <w:jc w:val="both"/>
      </w:pPr>
      <w:r>
        <w:t xml:space="preserve">At least 38 states so far have imposed an obligation on remote sellers, and it seems likely that the other seven states that impose sales and use taxes will do so soon.  The starting date for collecting and remitting use taxes varies by state.  (Here are two useful links to effective dates:  </w:t>
      </w:r>
      <w:hyperlink r:id="rId8" w:history="1">
        <w:r>
          <w:rPr>
            <w:rStyle w:val="Hyperlink"/>
          </w:rPr>
          <w:t>https://www.salestaxinstitute.com/resources/remote-seller-nexus-chart</w:t>
        </w:r>
      </w:hyperlink>
      <w:r>
        <w:t xml:space="preserve"> and </w:t>
      </w:r>
      <w:hyperlink r:id="rId9" w:history="1">
        <w:r>
          <w:rPr>
            <w:rStyle w:val="Hyperlink"/>
          </w:rPr>
          <w:t>https://www.avalara.com/us/en/learn/sales-tax/south-dakota-wayfair.html</w:t>
        </w:r>
      </w:hyperlink>
      <w:r>
        <w:t xml:space="preserve">)  For example, California </w:t>
      </w:r>
      <w:r w:rsidR="00111AEB">
        <w:t>did not require remote sellers to collect and remit its sales and use tax until April 1, 2019.  Moreover, the collection and payment obligation applie</w:t>
      </w:r>
      <w:r w:rsidR="00065F61">
        <w:t>s</w:t>
      </w:r>
      <w:r w:rsidR="00111AEB">
        <w:t xml:space="preserve"> only if total retail sales to California residents exceed $500,000 annually.  Illinois require</w:t>
      </w:r>
      <w:r w:rsidR="00065F61">
        <w:t>d</w:t>
      </w:r>
      <w:r w:rsidR="00111AEB">
        <w:t xml:space="preserve"> remote sellers to collect and remit its sales and use tax on October 1, 2018.  Illinois has the same </w:t>
      </w:r>
      <w:r w:rsidR="00111AEB" w:rsidRPr="00111AEB">
        <w:rPr>
          <w:i/>
          <w:iCs/>
        </w:rPr>
        <w:t>de minimis</w:t>
      </w:r>
      <w:r w:rsidR="00111AEB">
        <w:t xml:space="preserve"> thresholds as South Dakota, </w:t>
      </w:r>
      <w:r w:rsidR="00111AEB" w:rsidRPr="00111AEB">
        <w:rPr>
          <w:i/>
          <w:iCs/>
        </w:rPr>
        <w:t>i.e.</w:t>
      </w:r>
      <w:r w:rsidR="00111AEB">
        <w:t xml:space="preserve">, it applies to </w:t>
      </w:r>
      <w:r w:rsidR="00111AEB" w:rsidRPr="0023661E">
        <w:t xml:space="preserve">those with retail sales of at least $100,000 </w:t>
      </w:r>
      <w:r w:rsidR="00111AEB" w:rsidRPr="00B41FB5">
        <w:rPr>
          <w:u w:val="single"/>
        </w:rPr>
        <w:t>or</w:t>
      </w:r>
      <w:r w:rsidR="00111AEB" w:rsidRPr="0023661E">
        <w:t xml:space="preserve"> with at least 200 transactions annually with </w:t>
      </w:r>
      <w:r w:rsidR="00065F61">
        <w:t>Illinois</w:t>
      </w:r>
      <w:r w:rsidR="00111AEB" w:rsidRPr="0023661E">
        <w:t xml:space="preserve"> residents</w:t>
      </w:r>
      <w:r w:rsidR="00111AEB">
        <w:t xml:space="preserve">.  </w:t>
      </w:r>
      <w:r w:rsidR="00FE336A">
        <w:t>Although New York’s law requiring collection and payment went into effect on the date of the Supreme Court’s decision</w:t>
      </w:r>
      <w:r w:rsidR="00065F61">
        <w:t xml:space="preserve"> in </w:t>
      </w:r>
      <w:r w:rsidR="00065F61" w:rsidRPr="00065F61">
        <w:rPr>
          <w:i/>
          <w:iCs/>
        </w:rPr>
        <w:t>Wayfair</w:t>
      </w:r>
      <w:r w:rsidR="00FE336A">
        <w:t xml:space="preserve">, June 21, 2018, New York does not appear to have enforced its law until 2019.  New York’s </w:t>
      </w:r>
      <w:r w:rsidR="00FE336A" w:rsidRPr="00111AEB">
        <w:rPr>
          <w:i/>
          <w:iCs/>
        </w:rPr>
        <w:t>de minimis</w:t>
      </w:r>
      <w:r w:rsidR="00FE336A">
        <w:t xml:space="preserve"> thresholds are </w:t>
      </w:r>
      <w:r w:rsidR="00FE336A" w:rsidRPr="0023661E">
        <w:t>retail sales of at least $</w:t>
      </w:r>
      <w:r w:rsidR="00FE336A">
        <w:t>3</w:t>
      </w:r>
      <w:r w:rsidR="00FE336A" w:rsidRPr="0023661E">
        <w:t xml:space="preserve">00,000 </w:t>
      </w:r>
      <w:r w:rsidR="00FE336A">
        <w:rPr>
          <w:u w:val="single"/>
        </w:rPr>
        <w:t>and</w:t>
      </w:r>
      <w:r w:rsidR="00FE336A" w:rsidRPr="0023661E">
        <w:t xml:space="preserve"> with at least </w:t>
      </w:r>
      <w:r w:rsidR="00FE336A">
        <w:t>1</w:t>
      </w:r>
      <w:r w:rsidR="00FE336A" w:rsidRPr="0023661E">
        <w:t xml:space="preserve">00 transactions annually with </w:t>
      </w:r>
      <w:r w:rsidR="00FE336A">
        <w:t xml:space="preserve">New York </w:t>
      </w:r>
      <w:r w:rsidR="00FE336A" w:rsidRPr="0023661E">
        <w:t>residents</w:t>
      </w:r>
      <w:r w:rsidR="00FE336A">
        <w:t xml:space="preserve">.  Suffice it to say, remote sellers should be collecting and remitting sales/use taxes now, even if some states will not require it until October 1, 2019.  </w:t>
      </w:r>
      <w:r w:rsidR="00065F61">
        <w:t>(</w:t>
      </w:r>
      <w:r w:rsidR="00FE336A">
        <w:t xml:space="preserve">Texas is one such state, and its </w:t>
      </w:r>
      <w:r w:rsidR="00FE336A" w:rsidRPr="00FE336A">
        <w:rPr>
          <w:i/>
          <w:iCs/>
        </w:rPr>
        <w:t>de minimis</w:t>
      </w:r>
      <w:r w:rsidR="00FE336A">
        <w:t xml:space="preserve"> threshold is the same as California’s, annual retail sales to Texas residents over $500,000.</w:t>
      </w:r>
      <w:r w:rsidR="00065F61">
        <w:t>)</w:t>
      </w:r>
    </w:p>
    <w:p w14:paraId="02BAC2AA" w14:textId="77777777" w:rsidR="00111AEB" w:rsidRDefault="00111AEB" w:rsidP="00111AEB">
      <w:pPr>
        <w:jc w:val="both"/>
      </w:pPr>
    </w:p>
    <w:p w14:paraId="07695A16" w14:textId="76BD5A88" w:rsidR="00B41FB5" w:rsidRDefault="00FE336A" w:rsidP="00B41FB5">
      <w:pPr>
        <w:ind w:firstLine="720"/>
        <w:jc w:val="both"/>
      </w:pPr>
      <w:r>
        <w:t>Each state may also have different requirement</w:t>
      </w:r>
      <w:r w:rsidR="00E552D4">
        <w:t>s</w:t>
      </w:r>
      <w:r>
        <w:t xml:space="preserve"> for filing and paying sales and use taxes.  For example, New York </w:t>
      </w:r>
      <w:r w:rsidR="00B46EF5">
        <w:t>has four filing quarters for sales/use taxes, the quarter</w:t>
      </w:r>
      <w:r w:rsidR="00A0366F">
        <w:t>s</w:t>
      </w:r>
      <w:r w:rsidR="00B46EF5">
        <w:t xml:space="preserve"> ending on May 31, August 31, November 30, and February 28/29 of the following year.  Out-of-state vendors must register as a vendor in states where they must </w:t>
      </w:r>
      <w:r w:rsidR="00B46EF5">
        <w:lastRenderedPageBreak/>
        <w:t xml:space="preserve">collect sales/use taxes.  </w:t>
      </w:r>
      <w:r w:rsidR="00A5617D">
        <w:t xml:space="preserve">Thus, even if the </w:t>
      </w:r>
      <w:r w:rsidR="00B41FB5" w:rsidRPr="005D6E50">
        <w:t xml:space="preserve">effects of the holding in </w:t>
      </w:r>
      <w:r w:rsidR="00B41FB5" w:rsidRPr="005D6E50">
        <w:rPr>
          <w:i/>
        </w:rPr>
        <w:t>Wayfair</w:t>
      </w:r>
      <w:r w:rsidR="00B41FB5" w:rsidRPr="005D6E50">
        <w:t xml:space="preserve"> on various remote sellers are not</w:t>
      </w:r>
      <w:r w:rsidR="00B41FB5">
        <w:t xml:space="preserve"> </w:t>
      </w:r>
      <w:r w:rsidR="00B41FB5" w:rsidRPr="005D6E50">
        <w:t>clear</w:t>
      </w:r>
      <w:r w:rsidR="00B41FB5">
        <w:t xml:space="preserve"> or obvious</w:t>
      </w:r>
      <w:r w:rsidR="00A5617D">
        <w:t xml:space="preserve">, each such seller should have begun </w:t>
      </w:r>
      <w:r w:rsidR="00B46EF5">
        <w:t>to review its business operations and have taken the following steps:</w:t>
      </w:r>
    </w:p>
    <w:p w14:paraId="7A1FF224" w14:textId="369951AE" w:rsidR="00B46EF5" w:rsidRDefault="00B46EF5" w:rsidP="00B41FB5">
      <w:pPr>
        <w:ind w:firstLine="720"/>
        <w:jc w:val="both"/>
      </w:pPr>
    </w:p>
    <w:p w14:paraId="32DF4AC4" w14:textId="4CF15768" w:rsidR="00B46EF5" w:rsidRDefault="00B46EF5" w:rsidP="00B46EF5">
      <w:pPr>
        <w:numPr>
          <w:ilvl w:val="0"/>
          <w:numId w:val="8"/>
        </w:numPr>
        <w:jc w:val="both"/>
      </w:pPr>
      <w:r>
        <w:t xml:space="preserve">Determined the states </w:t>
      </w:r>
      <w:r w:rsidR="00BD5896">
        <w:t>where it does business and their level of importance.</w:t>
      </w:r>
    </w:p>
    <w:p w14:paraId="120B0CA9" w14:textId="15B80A0E" w:rsidR="00BD5896" w:rsidRDefault="00BD5896" w:rsidP="00B46EF5">
      <w:pPr>
        <w:numPr>
          <w:ilvl w:val="0"/>
          <w:numId w:val="8"/>
        </w:numPr>
        <w:jc w:val="both"/>
      </w:pPr>
      <w:r>
        <w:t>Ascertained the statutory sales/use tax regimes in those states</w:t>
      </w:r>
    </w:p>
    <w:p w14:paraId="15E2F847" w14:textId="3783576D" w:rsidR="00BD5896" w:rsidRDefault="00BD5896" w:rsidP="00B46EF5">
      <w:pPr>
        <w:numPr>
          <w:ilvl w:val="0"/>
          <w:numId w:val="8"/>
        </w:numPr>
        <w:jc w:val="both"/>
      </w:pPr>
      <w:r>
        <w:t xml:space="preserve">Ascertained what is required to comply with the sales use tax collection regimes in each of those states.  This requires familiarity with filing requirements, processes for collecting and paying the correct amount of sales/use tax, effective dates, and a determination of </w:t>
      </w:r>
      <w:r w:rsidRPr="00065F61">
        <w:rPr>
          <w:i/>
          <w:iCs/>
        </w:rPr>
        <w:t>de minimis</w:t>
      </w:r>
      <w:r>
        <w:t xml:space="preserve"> thresholds. </w:t>
      </w:r>
    </w:p>
    <w:p w14:paraId="16220480" w14:textId="0FE229F7" w:rsidR="00BD5896" w:rsidRDefault="00BD5896" w:rsidP="00B46EF5">
      <w:pPr>
        <w:numPr>
          <w:ilvl w:val="0"/>
          <w:numId w:val="8"/>
        </w:numPr>
        <w:jc w:val="both"/>
      </w:pPr>
      <w:r>
        <w:t>Ensured that the business is compliant and remains so.</w:t>
      </w:r>
    </w:p>
    <w:p w14:paraId="72709982" w14:textId="72E21217" w:rsidR="00BD5896" w:rsidRDefault="00BD5896" w:rsidP="00B46EF5">
      <w:pPr>
        <w:numPr>
          <w:ilvl w:val="0"/>
          <w:numId w:val="8"/>
        </w:numPr>
        <w:jc w:val="both"/>
      </w:pPr>
      <w:r>
        <w:t>Reviewed the operations of the business to determine any indirect effects of sales/use tax collection.  For example, customers who were used to avoiding sales/use tax by buying remotely may decide to stop buying.  Consider the effects of shipping costs when added to tax costs.</w:t>
      </w:r>
    </w:p>
    <w:p w14:paraId="1181DF72" w14:textId="65DCFD61" w:rsidR="007459E1" w:rsidRDefault="007459E1" w:rsidP="00BD5896">
      <w:pPr>
        <w:jc w:val="both"/>
        <w:rPr>
          <w:rFonts w:ascii="Verdana" w:hAnsi="Verdana"/>
          <w:color w:val="000000"/>
          <w:sz w:val="21"/>
          <w:szCs w:val="21"/>
        </w:rPr>
      </w:pPr>
    </w:p>
    <w:p w14:paraId="5201F1AA" w14:textId="11B88295" w:rsidR="00816A3D" w:rsidRDefault="00BD5896" w:rsidP="006840FC">
      <w:pPr>
        <w:ind w:firstLine="720"/>
        <w:jc w:val="both"/>
        <w:rPr>
          <w:color w:val="1C2022"/>
          <w:shd w:val="clear" w:color="auto" w:fill="FFFFFF"/>
        </w:rPr>
      </w:pPr>
      <w:r>
        <w:rPr>
          <w:color w:val="1C2022"/>
          <w:shd w:val="clear" w:color="auto" w:fill="FFFFFF"/>
        </w:rPr>
        <w:t xml:space="preserve">Finally, </w:t>
      </w:r>
      <w:r w:rsidR="006840FC">
        <w:rPr>
          <w:color w:val="1C2022"/>
          <w:shd w:val="clear" w:color="auto" w:fill="FFFFFF"/>
        </w:rPr>
        <w:t>it is worth noting that taking shortcuts in a backhanded way of trying to comply with use tax collection may lead to even bigger problems tha</w:t>
      </w:r>
      <w:r w:rsidR="00816A3D">
        <w:rPr>
          <w:color w:val="1C2022"/>
          <w:shd w:val="clear" w:color="auto" w:fill="FFFFFF"/>
        </w:rPr>
        <w:t>n</w:t>
      </w:r>
      <w:r w:rsidR="006840FC">
        <w:rPr>
          <w:color w:val="1C2022"/>
          <w:shd w:val="clear" w:color="auto" w:fill="FFFFFF"/>
        </w:rPr>
        <w:t xml:space="preserve"> </w:t>
      </w:r>
      <w:r w:rsidR="00065F61">
        <w:rPr>
          <w:color w:val="1C2022"/>
          <w:shd w:val="clear" w:color="auto" w:fill="FFFFFF"/>
        </w:rPr>
        <w:t xml:space="preserve">outright </w:t>
      </w:r>
      <w:r w:rsidR="006840FC">
        <w:rPr>
          <w:color w:val="1C2022"/>
          <w:shd w:val="clear" w:color="auto" w:fill="FFFFFF"/>
        </w:rPr>
        <w:t xml:space="preserve">noncompliance.  </w:t>
      </w:r>
      <w:r w:rsidR="00816A3D">
        <w:rPr>
          <w:color w:val="1C2022"/>
          <w:shd w:val="clear" w:color="auto" w:fill="FFFFFF"/>
        </w:rPr>
        <w:t>For example, s</w:t>
      </w:r>
      <w:r w:rsidR="006840FC">
        <w:rPr>
          <w:color w:val="1C2022"/>
          <w:shd w:val="clear" w:color="auto" w:fill="FFFFFF"/>
        </w:rPr>
        <w:t xml:space="preserve">ome </w:t>
      </w:r>
      <w:r w:rsidR="00816A3D">
        <w:rPr>
          <w:color w:val="1C2022"/>
          <w:shd w:val="clear" w:color="auto" w:fill="FFFFFF"/>
        </w:rPr>
        <w:t xml:space="preserve">liquor </w:t>
      </w:r>
      <w:r w:rsidR="006840FC">
        <w:rPr>
          <w:color w:val="1C2022"/>
          <w:shd w:val="clear" w:color="auto" w:fill="FFFFFF"/>
        </w:rPr>
        <w:t xml:space="preserve">stores with substantial interstate business have found it time consuming and difficult to register to sell alcohol in every state.  Rather than call attention to themselves, they pretend to comply by imposing their home state’s sales tax on all sales.  This approach is fraught with considerable danger.  </w:t>
      </w:r>
    </w:p>
    <w:p w14:paraId="209C9541" w14:textId="77777777" w:rsidR="00816A3D" w:rsidRDefault="00816A3D" w:rsidP="00816A3D">
      <w:pPr>
        <w:jc w:val="both"/>
        <w:rPr>
          <w:color w:val="1C2022"/>
          <w:shd w:val="clear" w:color="auto" w:fill="FFFFFF"/>
        </w:rPr>
      </w:pPr>
    </w:p>
    <w:p w14:paraId="1611E233" w14:textId="594707C5" w:rsidR="00DC2054" w:rsidRDefault="006840FC" w:rsidP="006840FC">
      <w:pPr>
        <w:ind w:firstLine="720"/>
        <w:jc w:val="both"/>
        <w:rPr>
          <w:color w:val="1C2022"/>
          <w:shd w:val="clear" w:color="auto" w:fill="FFFFFF"/>
        </w:rPr>
      </w:pPr>
      <w:r>
        <w:rPr>
          <w:color w:val="1C2022"/>
          <w:shd w:val="clear" w:color="auto" w:fill="FFFFFF"/>
        </w:rPr>
        <w:t>If the</w:t>
      </w:r>
      <w:r w:rsidR="00816A3D">
        <w:rPr>
          <w:color w:val="1C2022"/>
          <w:shd w:val="clear" w:color="auto" w:fill="FFFFFF"/>
        </w:rPr>
        <w:t xml:space="preserve">ir stores are </w:t>
      </w:r>
      <w:r>
        <w:rPr>
          <w:color w:val="1C2022"/>
          <w:shd w:val="clear" w:color="auto" w:fill="FFFFFF"/>
        </w:rPr>
        <w:t xml:space="preserve">in </w:t>
      </w:r>
      <w:r w:rsidR="00816A3D">
        <w:rPr>
          <w:color w:val="1C2022"/>
          <w:shd w:val="clear" w:color="auto" w:fill="FFFFFF"/>
        </w:rPr>
        <w:t xml:space="preserve">high sales/use tax jurisdictions such as </w:t>
      </w:r>
      <w:r>
        <w:rPr>
          <w:color w:val="1C2022"/>
          <w:shd w:val="clear" w:color="auto" w:fill="FFFFFF"/>
        </w:rPr>
        <w:t xml:space="preserve">New York or California, </w:t>
      </w:r>
      <w:r w:rsidR="00816A3D">
        <w:rPr>
          <w:color w:val="1C2022"/>
          <w:shd w:val="clear" w:color="auto" w:fill="FFFFFF"/>
        </w:rPr>
        <w:t xml:space="preserve">those retailers have been collecting </w:t>
      </w:r>
      <w:r>
        <w:rPr>
          <w:color w:val="1C2022"/>
          <w:shd w:val="clear" w:color="auto" w:fill="FFFFFF"/>
        </w:rPr>
        <w:t>high</w:t>
      </w:r>
      <w:r w:rsidR="00816A3D">
        <w:rPr>
          <w:color w:val="1C2022"/>
          <w:shd w:val="clear" w:color="auto" w:fill="FFFFFF"/>
        </w:rPr>
        <w:t>er</w:t>
      </w:r>
      <w:r>
        <w:rPr>
          <w:color w:val="1C2022"/>
          <w:shd w:val="clear" w:color="auto" w:fill="FFFFFF"/>
        </w:rPr>
        <w:t xml:space="preserve"> tax rates, 9% or higher</w:t>
      </w:r>
      <w:r w:rsidR="00816A3D">
        <w:rPr>
          <w:color w:val="1C2022"/>
          <w:shd w:val="clear" w:color="auto" w:fill="FFFFFF"/>
        </w:rPr>
        <w:t xml:space="preserve">, than the sales/use tax rates in effect in the customer’s home state.  For example, if the store collects a California sales tax that is 9% when it should have collected sales tax of 6% for Virginia, it would have overcharged that customer by 3%.  While 3% on an order of $500 is not much ($15), the difference can be substantial when applied to all customers over a long period.  Inasmuch </w:t>
      </w:r>
      <w:r w:rsidR="00DC2054">
        <w:rPr>
          <w:color w:val="1C2022"/>
          <w:shd w:val="clear" w:color="auto" w:fill="FFFFFF"/>
        </w:rPr>
        <w:t xml:space="preserve">as there is no colorable legal justification for the sales </w:t>
      </w:r>
      <w:r w:rsidR="00A0366F">
        <w:rPr>
          <w:color w:val="1C2022"/>
          <w:shd w:val="clear" w:color="auto" w:fill="FFFFFF"/>
        </w:rPr>
        <w:t>t</w:t>
      </w:r>
      <w:r w:rsidR="00DC2054">
        <w:rPr>
          <w:color w:val="1C2022"/>
          <w:shd w:val="clear" w:color="auto" w:fill="FFFFFF"/>
        </w:rPr>
        <w:t xml:space="preserve">ax overcharges, the retailers are leaving themselves open to being sued in class action litigation under state consumer protection laws, some of which permit triple damages for </w:t>
      </w:r>
      <w:bookmarkStart w:id="0" w:name="_GoBack"/>
      <w:bookmarkEnd w:id="0"/>
      <w:r w:rsidR="00DC2054">
        <w:rPr>
          <w:color w:val="1C2022"/>
          <w:shd w:val="clear" w:color="auto" w:fill="FFFFFF"/>
        </w:rPr>
        <w:t xml:space="preserve">unfair or fraudulent </w:t>
      </w:r>
      <w:r w:rsidR="00065F61">
        <w:rPr>
          <w:color w:val="1C2022"/>
          <w:shd w:val="clear" w:color="auto" w:fill="FFFFFF"/>
        </w:rPr>
        <w:t xml:space="preserve">sales </w:t>
      </w:r>
      <w:r w:rsidR="00DC2054">
        <w:rPr>
          <w:color w:val="1C2022"/>
          <w:shd w:val="clear" w:color="auto" w:fill="FFFFFF"/>
        </w:rPr>
        <w:t xml:space="preserve">practices.  </w:t>
      </w:r>
    </w:p>
    <w:p w14:paraId="1BB32A0E" w14:textId="77777777" w:rsidR="00DC2054" w:rsidRDefault="00DC2054" w:rsidP="00DC2054">
      <w:pPr>
        <w:jc w:val="both"/>
        <w:rPr>
          <w:color w:val="1C2022"/>
          <w:shd w:val="clear" w:color="auto" w:fill="FFFFFF"/>
        </w:rPr>
      </w:pPr>
    </w:p>
    <w:p w14:paraId="69F16A59" w14:textId="7C781C72" w:rsidR="00BD5896" w:rsidRPr="007459E1" w:rsidRDefault="00DC2054" w:rsidP="006840FC">
      <w:pPr>
        <w:ind w:firstLine="720"/>
        <w:jc w:val="both"/>
        <w:rPr>
          <w:color w:val="1C2022"/>
          <w:shd w:val="clear" w:color="auto" w:fill="FFFFFF"/>
        </w:rPr>
      </w:pPr>
      <w:r>
        <w:rPr>
          <w:color w:val="1C2022"/>
          <w:shd w:val="clear" w:color="auto" w:fill="FFFFFF"/>
        </w:rPr>
        <w:t xml:space="preserve">In any case, the </w:t>
      </w:r>
      <w:r w:rsidRPr="00DC2054">
        <w:rPr>
          <w:i/>
          <w:iCs/>
          <w:color w:val="1C2022"/>
          <w:shd w:val="clear" w:color="auto" w:fill="FFFFFF"/>
        </w:rPr>
        <w:t>Wayfair</w:t>
      </w:r>
      <w:r>
        <w:rPr>
          <w:color w:val="1C2022"/>
          <w:shd w:val="clear" w:color="auto" w:fill="FFFFFF"/>
        </w:rPr>
        <w:t xml:space="preserve"> decision has ushered in a new era of sales and use tax compliance.  Most retailers can no longer ignore sales and use tax collection on remote sales.  The sooner they become familiar with the sales and use tax collection regimes of the states in which they conduct business, the more likely it is that they can avoid costly audits, additional taxes, and penalties.  Any multistate retailer that has not already</w:t>
      </w:r>
      <w:r w:rsidR="00065F61">
        <w:rPr>
          <w:color w:val="1C2022"/>
          <w:shd w:val="clear" w:color="auto" w:fill="FFFFFF"/>
        </w:rPr>
        <w:t xml:space="preserve"> done</w:t>
      </w:r>
      <w:r>
        <w:rPr>
          <w:color w:val="1C2022"/>
          <w:shd w:val="clear" w:color="auto" w:fill="FFFFFF"/>
        </w:rPr>
        <w:t xml:space="preserve"> so should immediately review its business operations to ensure that it</w:t>
      </w:r>
      <w:r w:rsidR="00065F61">
        <w:rPr>
          <w:color w:val="1C2022"/>
          <w:shd w:val="clear" w:color="auto" w:fill="FFFFFF"/>
        </w:rPr>
        <w:t xml:space="preserve"> is</w:t>
      </w:r>
      <w:r>
        <w:rPr>
          <w:color w:val="1C2022"/>
          <w:shd w:val="clear" w:color="auto" w:fill="FFFFFF"/>
        </w:rPr>
        <w:t xml:space="preserve"> collect</w:t>
      </w:r>
      <w:r w:rsidR="00065F61">
        <w:rPr>
          <w:color w:val="1C2022"/>
          <w:shd w:val="clear" w:color="auto" w:fill="FFFFFF"/>
        </w:rPr>
        <w:t>ing</w:t>
      </w:r>
      <w:r>
        <w:rPr>
          <w:color w:val="1C2022"/>
          <w:shd w:val="clear" w:color="auto" w:fill="FFFFFF"/>
        </w:rPr>
        <w:t xml:space="preserve"> and remit</w:t>
      </w:r>
      <w:r w:rsidR="00065F61">
        <w:rPr>
          <w:color w:val="1C2022"/>
          <w:shd w:val="clear" w:color="auto" w:fill="FFFFFF"/>
        </w:rPr>
        <w:t>ting</w:t>
      </w:r>
      <w:r>
        <w:rPr>
          <w:color w:val="1C2022"/>
          <w:shd w:val="clear" w:color="auto" w:fill="FFFFFF"/>
        </w:rPr>
        <w:t xml:space="preserve"> sales and use taxes to every state in which it conducts </w:t>
      </w:r>
      <w:r w:rsidR="00500A10">
        <w:rPr>
          <w:color w:val="1C2022"/>
          <w:shd w:val="clear" w:color="auto" w:fill="FFFFFF"/>
        </w:rPr>
        <w:t>business.</w:t>
      </w:r>
    </w:p>
    <w:sectPr w:rsidR="00BD5896" w:rsidRPr="007459E1" w:rsidSect="00DE2AF0">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A506" w14:textId="77777777" w:rsidR="001A755B" w:rsidRDefault="001A755B">
      <w:r>
        <w:separator/>
      </w:r>
    </w:p>
  </w:endnote>
  <w:endnote w:type="continuationSeparator" w:id="0">
    <w:p w14:paraId="6E2BC49F" w14:textId="77777777" w:rsidR="001A755B" w:rsidRDefault="001A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EE7B5" w14:textId="77777777" w:rsidR="00E2562D" w:rsidRDefault="00E2562D" w:rsidP="00622F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BE112" w14:textId="77777777" w:rsidR="00E2562D" w:rsidRDefault="00E2562D" w:rsidP="00DE2A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CF5B" w14:textId="77777777" w:rsidR="00E2562D" w:rsidRDefault="00E2562D" w:rsidP="00622F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887">
      <w:rPr>
        <w:rStyle w:val="PageNumber"/>
        <w:noProof/>
      </w:rPr>
      <w:t>2</w:t>
    </w:r>
    <w:r>
      <w:rPr>
        <w:rStyle w:val="PageNumber"/>
      </w:rPr>
      <w:fldChar w:fldCharType="end"/>
    </w:r>
  </w:p>
  <w:p w14:paraId="6FC4B930" w14:textId="77777777" w:rsidR="00E2562D" w:rsidRDefault="00E2562D" w:rsidP="00DE2A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C770" w14:textId="77777777" w:rsidR="001A755B" w:rsidRDefault="001A755B">
      <w:r>
        <w:separator/>
      </w:r>
    </w:p>
  </w:footnote>
  <w:footnote w:type="continuationSeparator" w:id="0">
    <w:p w14:paraId="22B19CEC" w14:textId="77777777" w:rsidR="001A755B" w:rsidRDefault="001A7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F71"/>
    <w:multiLevelType w:val="hybridMultilevel"/>
    <w:tmpl w:val="D9A655D6"/>
    <w:lvl w:ilvl="0" w:tplc="7744075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5E26E4"/>
    <w:multiLevelType w:val="multilevel"/>
    <w:tmpl w:val="E4342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F0CCC"/>
    <w:multiLevelType w:val="multilevel"/>
    <w:tmpl w:val="44C0D9F8"/>
    <w:lvl w:ilvl="0">
      <w:start w:val="1"/>
      <w:numFmt w:val="decimal"/>
      <w:lvlText w:val="%1."/>
      <w:lvlJc w:val="right"/>
      <w:pPr>
        <w:tabs>
          <w:tab w:val="num" w:pos="720"/>
        </w:tabs>
        <w:ind w:left="720" w:hanging="360"/>
      </w:pPr>
      <w:rPr>
        <w:rFonts w:ascii="Times New Roman" w:eastAsia="Times New Roman" w:hAnsi="Times New Roman" w:cs="Times New Roman"/>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6956831"/>
    <w:multiLevelType w:val="multilevel"/>
    <w:tmpl w:val="D26C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5B6A20"/>
    <w:multiLevelType w:val="hybridMultilevel"/>
    <w:tmpl w:val="22B85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33544C"/>
    <w:multiLevelType w:val="multilevel"/>
    <w:tmpl w:val="413AA6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4C9B2D04"/>
    <w:multiLevelType w:val="hybridMultilevel"/>
    <w:tmpl w:val="8494B36C"/>
    <w:lvl w:ilvl="0" w:tplc="B9988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208B9"/>
    <w:multiLevelType w:val="hybridMultilevel"/>
    <w:tmpl w:val="F0660782"/>
    <w:lvl w:ilvl="0" w:tplc="E9A879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lvlOverride w:ilvl="0">
      <w:startOverride w:val="9"/>
    </w:lvlOverride>
  </w:num>
  <w:num w:numId="2">
    <w:abstractNumId w:val="4"/>
  </w:num>
  <w:num w:numId="3">
    <w:abstractNumId w:val="0"/>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183E"/>
    <w:rsid w:val="00001BD8"/>
    <w:rsid w:val="00011D6C"/>
    <w:rsid w:val="000156EE"/>
    <w:rsid w:val="00032A04"/>
    <w:rsid w:val="00043FEE"/>
    <w:rsid w:val="00065F61"/>
    <w:rsid w:val="00066365"/>
    <w:rsid w:val="00077028"/>
    <w:rsid w:val="0009183E"/>
    <w:rsid w:val="00092649"/>
    <w:rsid w:val="000965CE"/>
    <w:rsid w:val="000A66F1"/>
    <w:rsid w:val="000B50B0"/>
    <w:rsid w:val="000B6FFE"/>
    <w:rsid w:val="000C6181"/>
    <w:rsid w:val="000C6286"/>
    <w:rsid w:val="000C70BD"/>
    <w:rsid w:val="000C7A09"/>
    <w:rsid w:val="000D1968"/>
    <w:rsid w:val="000E1026"/>
    <w:rsid w:val="000E1D45"/>
    <w:rsid w:val="000E7443"/>
    <w:rsid w:val="000E7897"/>
    <w:rsid w:val="000F35B7"/>
    <w:rsid w:val="0011060C"/>
    <w:rsid w:val="00111AEB"/>
    <w:rsid w:val="00120603"/>
    <w:rsid w:val="001228BE"/>
    <w:rsid w:val="00126B9A"/>
    <w:rsid w:val="00142141"/>
    <w:rsid w:val="00143890"/>
    <w:rsid w:val="00145AFC"/>
    <w:rsid w:val="0014796B"/>
    <w:rsid w:val="00147EA7"/>
    <w:rsid w:val="001644FF"/>
    <w:rsid w:val="00165BB2"/>
    <w:rsid w:val="0018357F"/>
    <w:rsid w:val="00185AA9"/>
    <w:rsid w:val="001A755B"/>
    <w:rsid w:val="001C259D"/>
    <w:rsid w:val="001D1D21"/>
    <w:rsid w:val="001D7BC3"/>
    <w:rsid w:val="001E1A8D"/>
    <w:rsid w:val="001E1D46"/>
    <w:rsid w:val="001E3F94"/>
    <w:rsid w:val="00205C66"/>
    <w:rsid w:val="0023661E"/>
    <w:rsid w:val="00237CAE"/>
    <w:rsid w:val="002558A6"/>
    <w:rsid w:val="00265F83"/>
    <w:rsid w:val="00273534"/>
    <w:rsid w:val="00277175"/>
    <w:rsid w:val="00280A85"/>
    <w:rsid w:val="00290733"/>
    <w:rsid w:val="00290ED4"/>
    <w:rsid w:val="002921A5"/>
    <w:rsid w:val="002B7820"/>
    <w:rsid w:val="002D0B33"/>
    <w:rsid w:val="002D2E93"/>
    <w:rsid w:val="002D394E"/>
    <w:rsid w:val="002D4DCB"/>
    <w:rsid w:val="002E4F4C"/>
    <w:rsid w:val="002F172D"/>
    <w:rsid w:val="0030238E"/>
    <w:rsid w:val="00303D59"/>
    <w:rsid w:val="00323A8E"/>
    <w:rsid w:val="00325E6F"/>
    <w:rsid w:val="00331061"/>
    <w:rsid w:val="00335066"/>
    <w:rsid w:val="003441B6"/>
    <w:rsid w:val="00347887"/>
    <w:rsid w:val="00351DCC"/>
    <w:rsid w:val="0035214F"/>
    <w:rsid w:val="00352155"/>
    <w:rsid w:val="003603AA"/>
    <w:rsid w:val="0038523C"/>
    <w:rsid w:val="00385C1E"/>
    <w:rsid w:val="003917D8"/>
    <w:rsid w:val="003946F2"/>
    <w:rsid w:val="003A5648"/>
    <w:rsid w:val="003B2297"/>
    <w:rsid w:val="003B4C34"/>
    <w:rsid w:val="003B6F33"/>
    <w:rsid w:val="003C7116"/>
    <w:rsid w:val="003D47A8"/>
    <w:rsid w:val="003E3431"/>
    <w:rsid w:val="003E445F"/>
    <w:rsid w:val="00403FFD"/>
    <w:rsid w:val="00420FF8"/>
    <w:rsid w:val="00425C96"/>
    <w:rsid w:val="00434716"/>
    <w:rsid w:val="00451932"/>
    <w:rsid w:val="0045322E"/>
    <w:rsid w:val="00472B45"/>
    <w:rsid w:val="0047728C"/>
    <w:rsid w:val="00486424"/>
    <w:rsid w:val="00487B49"/>
    <w:rsid w:val="00490345"/>
    <w:rsid w:val="0049098C"/>
    <w:rsid w:val="00492CAA"/>
    <w:rsid w:val="00495B57"/>
    <w:rsid w:val="00497493"/>
    <w:rsid w:val="004A6A51"/>
    <w:rsid w:val="004B5CCB"/>
    <w:rsid w:val="004B6ED0"/>
    <w:rsid w:val="004C1F43"/>
    <w:rsid w:val="004C368F"/>
    <w:rsid w:val="004C5956"/>
    <w:rsid w:val="004C62FD"/>
    <w:rsid w:val="004C6A2B"/>
    <w:rsid w:val="004E07B1"/>
    <w:rsid w:val="004E62E5"/>
    <w:rsid w:val="004F2BF4"/>
    <w:rsid w:val="004F4B42"/>
    <w:rsid w:val="004F6F2D"/>
    <w:rsid w:val="00500A10"/>
    <w:rsid w:val="00502171"/>
    <w:rsid w:val="0050407D"/>
    <w:rsid w:val="005071E1"/>
    <w:rsid w:val="00514B0B"/>
    <w:rsid w:val="005224C2"/>
    <w:rsid w:val="00524A0D"/>
    <w:rsid w:val="0052728D"/>
    <w:rsid w:val="0054025A"/>
    <w:rsid w:val="005764AA"/>
    <w:rsid w:val="005B78F4"/>
    <w:rsid w:val="005D4394"/>
    <w:rsid w:val="005D50DD"/>
    <w:rsid w:val="005D6E50"/>
    <w:rsid w:val="005E71EB"/>
    <w:rsid w:val="005F42FA"/>
    <w:rsid w:val="005F7B6E"/>
    <w:rsid w:val="00601704"/>
    <w:rsid w:val="00607362"/>
    <w:rsid w:val="006111BC"/>
    <w:rsid w:val="00617E9F"/>
    <w:rsid w:val="00622F49"/>
    <w:rsid w:val="006307B8"/>
    <w:rsid w:val="00637721"/>
    <w:rsid w:val="0064149C"/>
    <w:rsid w:val="00660DB0"/>
    <w:rsid w:val="00670929"/>
    <w:rsid w:val="006840FC"/>
    <w:rsid w:val="006919C6"/>
    <w:rsid w:val="006A05F7"/>
    <w:rsid w:val="006A62EE"/>
    <w:rsid w:val="006B2F8D"/>
    <w:rsid w:val="006B5438"/>
    <w:rsid w:val="006C2C4C"/>
    <w:rsid w:val="006C3FBC"/>
    <w:rsid w:val="006C4994"/>
    <w:rsid w:val="006D72B9"/>
    <w:rsid w:val="006E44E8"/>
    <w:rsid w:val="006E467F"/>
    <w:rsid w:val="006F0A6D"/>
    <w:rsid w:val="006F0B0C"/>
    <w:rsid w:val="00725A1E"/>
    <w:rsid w:val="00740B51"/>
    <w:rsid w:val="00744AE3"/>
    <w:rsid w:val="007459E1"/>
    <w:rsid w:val="00745FAC"/>
    <w:rsid w:val="007500E9"/>
    <w:rsid w:val="007515C7"/>
    <w:rsid w:val="007630C3"/>
    <w:rsid w:val="00774149"/>
    <w:rsid w:val="00780CB6"/>
    <w:rsid w:val="00785E7A"/>
    <w:rsid w:val="00791DDD"/>
    <w:rsid w:val="00794E27"/>
    <w:rsid w:val="007973AB"/>
    <w:rsid w:val="007B5BEB"/>
    <w:rsid w:val="007C0E3F"/>
    <w:rsid w:val="007C1CF4"/>
    <w:rsid w:val="007D7D52"/>
    <w:rsid w:val="0080303A"/>
    <w:rsid w:val="00816949"/>
    <w:rsid w:val="00816A3D"/>
    <w:rsid w:val="00821436"/>
    <w:rsid w:val="00821D87"/>
    <w:rsid w:val="00846856"/>
    <w:rsid w:val="008468BC"/>
    <w:rsid w:val="00854940"/>
    <w:rsid w:val="0086626B"/>
    <w:rsid w:val="00870BC2"/>
    <w:rsid w:val="00884613"/>
    <w:rsid w:val="008948F6"/>
    <w:rsid w:val="00894F41"/>
    <w:rsid w:val="00896510"/>
    <w:rsid w:val="008A107F"/>
    <w:rsid w:val="008B46A3"/>
    <w:rsid w:val="008D1572"/>
    <w:rsid w:val="008F04A1"/>
    <w:rsid w:val="008F098C"/>
    <w:rsid w:val="008F3BB2"/>
    <w:rsid w:val="009079F0"/>
    <w:rsid w:val="009105D3"/>
    <w:rsid w:val="009109FB"/>
    <w:rsid w:val="009151DB"/>
    <w:rsid w:val="00921614"/>
    <w:rsid w:val="009241D7"/>
    <w:rsid w:val="00925E8E"/>
    <w:rsid w:val="00931AC3"/>
    <w:rsid w:val="00946B58"/>
    <w:rsid w:val="00956ECC"/>
    <w:rsid w:val="00962A82"/>
    <w:rsid w:val="009837B9"/>
    <w:rsid w:val="009841F1"/>
    <w:rsid w:val="00986AF3"/>
    <w:rsid w:val="0099426C"/>
    <w:rsid w:val="009959CE"/>
    <w:rsid w:val="009A54FE"/>
    <w:rsid w:val="009A5E9C"/>
    <w:rsid w:val="009B632E"/>
    <w:rsid w:val="009C0758"/>
    <w:rsid w:val="009D28AE"/>
    <w:rsid w:val="009D5ED2"/>
    <w:rsid w:val="009E0D0B"/>
    <w:rsid w:val="009E5797"/>
    <w:rsid w:val="009E661F"/>
    <w:rsid w:val="009F15E5"/>
    <w:rsid w:val="009F35BC"/>
    <w:rsid w:val="009F4F2F"/>
    <w:rsid w:val="00A0366F"/>
    <w:rsid w:val="00A05715"/>
    <w:rsid w:val="00A05E51"/>
    <w:rsid w:val="00A11C37"/>
    <w:rsid w:val="00A16609"/>
    <w:rsid w:val="00A16ABC"/>
    <w:rsid w:val="00A34BC9"/>
    <w:rsid w:val="00A40F8C"/>
    <w:rsid w:val="00A4780D"/>
    <w:rsid w:val="00A56035"/>
    <w:rsid w:val="00A5617D"/>
    <w:rsid w:val="00A636D4"/>
    <w:rsid w:val="00A84D92"/>
    <w:rsid w:val="00A96EE7"/>
    <w:rsid w:val="00AA1A28"/>
    <w:rsid w:val="00AA2637"/>
    <w:rsid w:val="00AA6E45"/>
    <w:rsid w:val="00AB5EF6"/>
    <w:rsid w:val="00AC11D9"/>
    <w:rsid w:val="00AD21BF"/>
    <w:rsid w:val="00AD6166"/>
    <w:rsid w:val="00AF10A8"/>
    <w:rsid w:val="00AF7BD4"/>
    <w:rsid w:val="00B017F2"/>
    <w:rsid w:val="00B12024"/>
    <w:rsid w:val="00B12A16"/>
    <w:rsid w:val="00B17AED"/>
    <w:rsid w:val="00B20142"/>
    <w:rsid w:val="00B21B8F"/>
    <w:rsid w:val="00B312BE"/>
    <w:rsid w:val="00B31E41"/>
    <w:rsid w:val="00B356E5"/>
    <w:rsid w:val="00B41FB5"/>
    <w:rsid w:val="00B46EF5"/>
    <w:rsid w:val="00B6409C"/>
    <w:rsid w:val="00B7074C"/>
    <w:rsid w:val="00B71623"/>
    <w:rsid w:val="00B7368E"/>
    <w:rsid w:val="00B803AE"/>
    <w:rsid w:val="00B919B5"/>
    <w:rsid w:val="00B95340"/>
    <w:rsid w:val="00BA608E"/>
    <w:rsid w:val="00BB1C87"/>
    <w:rsid w:val="00BB3CB7"/>
    <w:rsid w:val="00BB4292"/>
    <w:rsid w:val="00BC004B"/>
    <w:rsid w:val="00BD5896"/>
    <w:rsid w:val="00BD7735"/>
    <w:rsid w:val="00BE2995"/>
    <w:rsid w:val="00BF1DEA"/>
    <w:rsid w:val="00BF258F"/>
    <w:rsid w:val="00BF3DD7"/>
    <w:rsid w:val="00BF7277"/>
    <w:rsid w:val="00C049C4"/>
    <w:rsid w:val="00C075D0"/>
    <w:rsid w:val="00C12944"/>
    <w:rsid w:val="00C20067"/>
    <w:rsid w:val="00C24582"/>
    <w:rsid w:val="00C31619"/>
    <w:rsid w:val="00C32609"/>
    <w:rsid w:val="00C358BF"/>
    <w:rsid w:val="00C4501B"/>
    <w:rsid w:val="00C45F94"/>
    <w:rsid w:val="00C63634"/>
    <w:rsid w:val="00C657BB"/>
    <w:rsid w:val="00C82C55"/>
    <w:rsid w:val="00C866CB"/>
    <w:rsid w:val="00C9251C"/>
    <w:rsid w:val="00C950D5"/>
    <w:rsid w:val="00CA4165"/>
    <w:rsid w:val="00CA712C"/>
    <w:rsid w:val="00CB29A6"/>
    <w:rsid w:val="00CC1BC6"/>
    <w:rsid w:val="00CD2055"/>
    <w:rsid w:val="00CD3672"/>
    <w:rsid w:val="00CE3251"/>
    <w:rsid w:val="00CF0D17"/>
    <w:rsid w:val="00CF3EED"/>
    <w:rsid w:val="00CF6412"/>
    <w:rsid w:val="00D069A5"/>
    <w:rsid w:val="00D37D32"/>
    <w:rsid w:val="00D550BE"/>
    <w:rsid w:val="00D625D9"/>
    <w:rsid w:val="00D644F0"/>
    <w:rsid w:val="00D718D2"/>
    <w:rsid w:val="00D74835"/>
    <w:rsid w:val="00D77F9A"/>
    <w:rsid w:val="00D8058C"/>
    <w:rsid w:val="00D92BF7"/>
    <w:rsid w:val="00DC2054"/>
    <w:rsid w:val="00DC4EBE"/>
    <w:rsid w:val="00DC6E51"/>
    <w:rsid w:val="00DE174E"/>
    <w:rsid w:val="00DE222A"/>
    <w:rsid w:val="00DE2AF0"/>
    <w:rsid w:val="00DF6E40"/>
    <w:rsid w:val="00DF7313"/>
    <w:rsid w:val="00E0366D"/>
    <w:rsid w:val="00E11029"/>
    <w:rsid w:val="00E241DF"/>
    <w:rsid w:val="00E2562D"/>
    <w:rsid w:val="00E276DF"/>
    <w:rsid w:val="00E552D4"/>
    <w:rsid w:val="00E57F14"/>
    <w:rsid w:val="00E71038"/>
    <w:rsid w:val="00E74E94"/>
    <w:rsid w:val="00E803DF"/>
    <w:rsid w:val="00E824A4"/>
    <w:rsid w:val="00E86E7F"/>
    <w:rsid w:val="00E91986"/>
    <w:rsid w:val="00E9580D"/>
    <w:rsid w:val="00EA0E52"/>
    <w:rsid w:val="00EB0449"/>
    <w:rsid w:val="00EB11C9"/>
    <w:rsid w:val="00EB1202"/>
    <w:rsid w:val="00EC798A"/>
    <w:rsid w:val="00EF3734"/>
    <w:rsid w:val="00EF5E4F"/>
    <w:rsid w:val="00F00038"/>
    <w:rsid w:val="00F012D4"/>
    <w:rsid w:val="00F06D26"/>
    <w:rsid w:val="00F164D8"/>
    <w:rsid w:val="00F227C2"/>
    <w:rsid w:val="00F30EEA"/>
    <w:rsid w:val="00F37C9E"/>
    <w:rsid w:val="00F41A9E"/>
    <w:rsid w:val="00F45F19"/>
    <w:rsid w:val="00F466CE"/>
    <w:rsid w:val="00F578D6"/>
    <w:rsid w:val="00F6506E"/>
    <w:rsid w:val="00F94943"/>
    <w:rsid w:val="00FA27B2"/>
    <w:rsid w:val="00FA36E3"/>
    <w:rsid w:val="00FA695B"/>
    <w:rsid w:val="00FC2F88"/>
    <w:rsid w:val="00FC5B75"/>
    <w:rsid w:val="00FC64D1"/>
    <w:rsid w:val="00FD0647"/>
    <w:rsid w:val="00FD1306"/>
    <w:rsid w:val="00FD2797"/>
    <w:rsid w:val="00FE336A"/>
    <w:rsid w:val="00FE38EC"/>
    <w:rsid w:val="00FE6608"/>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29929"/>
  <w15:chartTrackingRefBased/>
  <w15:docId w15:val="{447B106F-2AC5-4A86-A390-35585DF9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color w:val="000099"/>
    </w:rPr>
  </w:style>
  <w:style w:type="character" w:styleId="Strong">
    <w:name w:val="Strong"/>
    <w:uiPriority w:val="22"/>
    <w:qFormat/>
    <w:rPr>
      <w:b/>
      <w:bCs/>
    </w:rPr>
  </w:style>
  <w:style w:type="character" w:styleId="Hyperlink">
    <w:name w:val="Hyperlink"/>
    <w:uiPriority w:val="99"/>
    <w:rPr>
      <w:color w:val="0000FF"/>
      <w:u w:val="single"/>
    </w:rPr>
  </w:style>
  <w:style w:type="paragraph" w:styleId="Title">
    <w:name w:val="Title"/>
    <w:basedOn w:val="Normal"/>
    <w:qFormat/>
    <w:pPr>
      <w:autoSpaceDE w:val="0"/>
      <w:autoSpaceDN w:val="0"/>
      <w:adjustRightInd w:val="0"/>
      <w:jc w:val="center"/>
    </w:pPr>
    <w:rPr>
      <w:b/>
      <w:bCs/>
      <w:sz w:val="44"/>
      <w:szCs w:val="44"/>
    </w:rPr>
  </w:style>
  <w:style w:type="character" w:styleId="FollowedHyperlink">
    <w:name w:val="FollowedHyperlink"/>
    <w:rPr>
      <w:color w:val="800080"/>
      <w:u w:val="single"/>
    </w:rPr>
  </w:style>
  <w:style w:type="character" w:customStyle="1" w:styleId="content1">
    <w:name w:val="content1"/>
    <w:rPr>
      <w:rFonts w:ascii="Arial" w:hAnsi="Arial" w:cs="Arial" w:hint="default"/>
      <w:color w:val="000000"/>
      <w:sz w:val="17"/>
      <w:szCs w:val="17"/>
    </w:rPr>
  </w:style>
  <w:style w:type="paragraph" w:styleId="BodyTextIndent3">
    <w:name w:val="Body Text Indent 3"/>
    <w:basedOn w:val="Normal"/>
    <w:pPr>
      <w:autoSpaceDE w:val="0"/>
      <w:autoSpaceDN w:val="0"/>
      <w:adjustRightInd w:val="0"/>
      <w:spacing w:before="100" w:beforeAutospacing="1" w:after="100" w:afterAutospacing="1"/>
      <w:ind w:left="360"/>
      <w:jc w:val="both"/>
    </w:pPr>
    <w:rPr>
      <w:color w:val="000000"/>
      <w:szCs w:val="18"/>
    </w:rPr>
  </w:style>
  <w:style w:type="paragraph" w:customStyle="1" w:styleId="bodytext">
    <w:name w:val="bodytext"/>
    <w:basedOn w:val="Normal"/>
    <w:pPr>
      <w:spacing w:before="100" w:beforeAutospacing="1" w:after="100" w:afterAutospacing="1"/>
    </w:pPr>
    <w:rPr>
      <w:rFonts w:ascii="Arial" w:hAnsi="Arial" w:cs="Arial"/>
      <w:color w:val="000000"/>
      <w:sz w:val="18"/>
      <w:szCs w:val="18"/>
    </w:rPr>
  </w:style>
  <w:style w:type="paragraph" w:customStyle="1" w:styleId="BHeading4">
    <w:name w:val="BHeading4"/>
    <w:basedOn w:val="Normal"/>
    <w:pPr>
      <w:spacing w:line="240" w:lineRule="exact"/>
    </w:pPr>
    <w:rPr>
      <w:rFonts w:ascii="CG Times (WN)" w:hAnsi="CG Times (WN)"/>
      <w:sz w:val="22"/>
      <w:szCs w:val="20"/>
    </w:rPr>
  </w:style>
  <w:style w:type="character" w:customStyle="1" w:styleId="normalloose1">
    <w:name w:val="normalloose1"/>
    <w:rPr>
      <w:rFonts w:ascii="Verdana" w:hAnsi="Verdana" w:hint="default"/>
      <w:sz w:val="18"/>
      <w:szCs w:val="18"/>
    </w:rPr>
  </w:style>
  <w:style w:type="paragraph" w:styleId="BodyTextIndent">
    <w:name w:val="Body Text Indent"/>
    <w:basedOn w:val="Normal"/>
    <w:pPr>
      <w:ind w:firstLine="720"/>
      <w:jc w:val="both"/>
    </w:pPr>
  </w:style>
  <w:style w:type="paragraph" w:styleId="BodyText0">
    <w:name w:val="Body Text"/>
    <w:basedOn w:val="Normal"/>
    <w:pPr>
      <w:jc w:val="both"/>
    </w:pPr>
  </w:style>
  <w:style w:type="character" w:styleId="FootnoteReference">
    <w:name w:val="footnote reference"/>
    <w:semiHidden/>
  </w:style>
  <w:style w:type="character" w:customStyle="1" w:styleId="Hypertext">
    <w:name w:val="Hypertext"/>
    <w:rPr>
      <w:color w:val="0000FF"/>
      <w:u w:val="single"/>
    </w:rPr>
  </w:style>
  <w:style w:type="character" w:styleId="Emphasis">
    <w:name w:val="Emphasis"/>
    <w:qFormat/>
    <w:rsid w:val="00B7074C"/>
    <w:rPr>
      <w:i/>
      <w:iCs/>
    </w:rPr>
  </w:style>
  <w:style w:type="paragraph" w:customStyle="1" w:styleId="msolistparagraph0">
    <w:name w:val="msolistparagraph"/>
    <w:basedOn w:val="Normal"/>
    <w:rsid w:val="009D5ED2"/>
    <w:pPr>
      <w:ind w:left="720"/>
    </w:pPr>
    <w:rPr>
      <w:rFonts w:ascii="Calibri" w:hAnsi="Calibri"/>
      <w:sz w:val="22"/>
      <w:szCs w:val="22"/>
    </w:rPr>
  </w:style>
  <w:style w:type="paragraph" w:styleId="Footer">
    <w:name w:val="footer"/>
    <w:basedOn w:val="Normal"/>
    <w:rsid w:val="00DE2AF0"/>
    <w:pPr>
      <w:tabs>
        <w:tab w:val="center" w:pos="4320"/>
        <w:tab w:val="right" w:pos="8640"/>
      </w:tabs>
    </w:pPr>
  </w:style>
  <w:style w:type="character" w:styleId="PageNumber">
    <w:name w:val="page number"/>
    <w:basedOn w:val="DefaultParagraphFont"/>
    <w:rsid w:val="00DE2AF0"/>
  </w:style>
  <w:style w:type="paragraph" w:styleId="Header">
    <w:name w:val="header"/>
    <w:basedOn w:val="Normal"/>
    <w:rsid w:val="00DE2AF0"/>
    <w:pPr>
      <w:tabs>
        <w:tab w:val="center" w:pos="4320"/>
        <w:tab w:val="right" w:pos="8640"/>
      </w:tabs>
    </w:pPr>
  </w:style>
  <w:style w:type="character" w:customStyle="1" w:styleId="xref">
    <w:name w:val="xref"/>
    <w:rsid w:val="00514B0B"/>
    <w:rPr>
      <w:color w:val="auto"/>
    </w:rPr>
  </w:style>
  <w:style w:type="paragraph" w:styleId="FootnoteText">
    <w:name w:val="footnote text"/>
    <w:basedOn w:val="Normal"/>
    <w:link w:val="FootnoteTextChar"/>
    <w:rsid w:val="00514B0B"/>
    <w:pPr>
      <w:ind w:firstLine="360"/>
    </w:pPr>
    <w:rPr>
      <w:sz w:val="22"/>
      <w:szCs w:val="22"/>
    </w:rPr>
  </w:style>
  <w:style w:type="paragraph" w:customStyle="1" w:styleId="Default">
    <w:name w:val="Default"/>
    <w:rsid w:val="001E1A8D"/>
    <w:pPr>
      <w:autoSpaceDE w:val="0"/>
      <w:autoSpaceDN w:val="0"/>
      <w:adjustRightInd w:val="0"/>
    </w:pPr>
    <w:rPr>
      <w:color w:val="000000"/>
      <w:sz w:val="24"/>
      <w:szCs w:val="24"/>
    </w:rPr>
  </w:style>
  <w:style w:type="paragraph" w:styleId="NoSpacing">
    <w:name w:val="No Spacing"/>
    <w:uiPriority w:val="1"/>
    <w:qFormat/>
    <w:rsid w:val="00385C1E"/>
    <w:rPr>
      <w:rFonts w:ascii="Calibri" w:eastAsia="Calibri" w:hAnsi="Calibri"/>
      <w:sz w:val="22"/>
      <w:szCs w:val="22"/>
    </w:rPr>
  </w:style>
  <w:style w:type="paragraph" w:styleId="BodyTextIndent2">
    <w:name w:val="Body Text Indent 2"/>
    <w:basedOn w:val="Normal"/>
    <w:link w:val="BodyTextIndent2Char"/>
    <w:uiPriority w:val="99"/>
    <w:semiHidden/>
    <w:unhideWhenUsed/>
    <w:rsid w:val="002D394E"/>
    <w:pPr>
      <w:spacing w:after="120" w:line="480" w:lineRule="auto"/>
      <w:ind w:left="360"/>
    </w:pPr>
  </w:style>
  <w:style w:type="character" w:customStyle="1" w:styleId="BodyTextIndent2Char">
    <w:name w:val="Body Text Indent 2 Char"/>
    <w:link w:val="BodyTextIndent2"/>
    <w:uiPriority w:val="99"/>
    <w:semiHidden/>
    <w:rsid w:val="002D394E"/>
    <w:rPr>
      <w:sz w:val="24"/>
      <w:szCs w:val="24"/>
    </w:rPr>
  </w:style>
  <w:style w:type="paragraph" w:styleId="BodyText3">
    <w:name w:val="Body Text 3"/>
    <w:basedOn w:val="Normal"/>
    <w:link w:val="BodyText3Char"/>
    <w:uiPriority w:val="99"/>
    <w:unhideWhenUsed/>
    <w:rsid w:val="002D394E"/>
    <w:pPr>
      <w:spacing w:after="120"/>
    </w:pPr>
    <w:rPr>
      <w:sz w:val="16"/>
      <w:szCs w:val="16"/>
    </w:rPr>
  </w:style>
  <w:style w:type="character" w:customStyle="1" w:styleId="BodyText3Char">
    <w:name w:val="Body Text 3 Char"/>
    <w:link w:val="BodyText3"/>
    <w:uiPriority w:val="99"/>
    <w:rsid w:val="002D394E"/>
    <w:rPr>
      <w:sz w:val="16"/>
      <w:szCs w:val="16"/>
    </w:rPr>
  </w:style>
  <w:style w:type="paragraph" w:customStyle="1" w:styleId="Text">
    <w:name w:val="Text"/>
    <w:basedOn w:val="Normal"/>
    <w:rsid w:val="008F3BB2"/>
    <w:pPr>
      <w:widowControl w:val="0"/>
      <w:autoSpaceDE w:val="0"/>
      <w:autoSpaceDN w:val="0"/>
      <w:adjustRightInd w:val="0"/>
      <w:spacing w:before="120" w:line="220" w:lineRule="atLeast"/>
      <w:ind w:firstLine="360"/>
      <w:jc w:val="both"/>
      <w:textAlignment w:val="center"/>
    </w:pPr>
    <w:rPr>
      <w:rFonts w:cs="Times"/>
      <w:sz w:val="22"/>
      <w:szCs w:val="22"/>
    </w:rPr>
  </w:style>
  <w:style w:type="character" w:customStyle="1" w:styleId="FootnoteTextChar">
    <w:name w:val="Footnote Text Char"/>
    <w:link w:val="FootnoteText"/>
    <w:rsid w:val="00607362"/>
    <w:rPr>
      <w:sz w:val="22"/>
      <w:szCs w:val="22"/>
    </w:rPr>
  </w:style>
  <w:style w:type="paragraph" w:customStyle="1" w:styleId="css-1ygdjhk">
    <w:name w:val="css-1ygdjhk"/>
    <w:basedOn w:val="Normal"/>
    <w:rsid w:val="009E0D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837">
      <w:bodyDiv w:val="1"/>
      <w:marLeft w:val="0"/>
      <w:marRight w:val="0"/>
      <w:marTop w:val="0"/>
      <w:marBottom w:val="0"/>
      <w:divBdr>
        <w:top w:val="none" w:sz="0" w:space="0" w:color="auto"/>
        <w:left w:val="none" w:sz="0" w:space="0" w:color="auto"/>
        <w:bottom w:val="none" w:sz="0" w:space="0" w:color="auto"/>
        <w:right w:val="none" w:sz="0" w:space="0" w:color="auto"/>
      </w:divBdr>
      <w:divsChild>
        <w:div w:id="399405371">
          <w:marLeft w:val="0"/>
          <w:marRight w:val="0"/>
          <w:marTop w:val="0"/>
          <w:marBottom w:val="0"/>
          <w:divBdr>
            <w:top w:val="none" w:sz="0" w:space="0" w:color="auto"/>
            <w:left w:val="none" w:sz="0" w:space="0" w:color="auto"/>
            <w:bottom w:val="none" w:sz="0" w:space="0" w:color="auto"/>
            <w:right w:val="none" w:sz="0" w:space="0" w:color="auto"/>
          </w:divBdr>
        </w:div>
      </w:divsChild>
    </w:div>
    <w:div w:id="85464786">
      <w:bodyDiv w:val="1"/>
      <w:marLeft w:val="0"/>
      <w:marRight w:val="0"/>
      <w:marTop w:val="0"/>
      <w:marBottom w:val="0"/>
      <w:divBdr>
        <w:top w:val="none" w:sz="0" w:space="0" w:color="auto"/>
        <w:left w:val="none" w:sz="0" w:space="0" w:color="auto"/>
        <w:bottom w:val="none" w:sz="0" w:space="0" w:color="auto"/>
        <w:right w:val="none" w:sz="0" w:space="0" w:color="auto"/>
      </w:divBdr>
    </w:div>
    <w:div w:id="96946006">
      <w:bodyDiv w:val="1"/>
      <w:marLeft w:val="0"/>
      <w:marRight w:val="0"/>
      <w:marTop w:val="0"/>
      <w:marBottom w:val="0"/>
      <w:divBdr>
        <w:top w:val="none" w:sz="0" w:space="0" w:color="auto"/>
        <w:left w:val="none" w:sz="0" w:space="0" w:color="auto"/>
        <w:bottom w:val="none" w:sz="0" w:space="0" w:color="auto"/>
        <w:right w:val="none" w:sz="0" w:space="0" w:color="auto"/>
      </w:divBdr>
      <w:divsChild>
        <w:div w:id="1680085644">
          <w:marLeft w:val="0"/>
          <w:marRight w:val="0"/>
          <w:marTop w:val="0"/>
          <w:marBottom w:val="0"/>
          <w:divBdr>
            <w:top w:val="none" w:sz="0" w:space="0" w:color="auto"/>
            <w:left w:val="none" w:sz="0" w:space="0" w:color="auto"/>
            <w:bottom w:val="none" w:sz="0" w:space="0" w:color="auto"/>
            <w:right w:val="none" w:sz="0" w:space="0" w:color="auto"/>
          </w:divBdr>
        </w:div>
      </w:divsChild>
    </w:div>
    <w:div w:id="186716869">
      <w:bodyDiv w:val="1"/>
      <w:marLeft w:val="0"/>
      <w:marRight w:val="0"/>
      <w:marTop w:val="0"/>
      <w:marBottom w:val="0"/>
      <w:divBdr>
        <w:top w:val="none" w:sz="0" w:space="0" w:color="auto"/>
        <w:left w:val="none" w:sz="0" w:space="0" w:color="auto"/>
        <w:bottom w:val="none" w:sz="0" w:space="0" w:color="auto"/>
        <w:right w:val="none" w:sz="0" w:space="0" w:color="auto"/>
      </w:divBdr>
      <w:divsChild>
        <w:div w:id="309748973">
          <w:marLeft w:val="0"/>
          <w:marRight w:val="0"/>
          <w:marTop w:val="0"/>
          <w:marBottom w:val="0"/>
          <w:divBdr>
            <w:top w:val="none" w:sz="0" w:space="0" w:color="auto"/>
            <w:left w:val="none" w:sz="0" w:space="0" w:color="auto"/>
            <w:bottom w:val="none" w:sz="0" w:space="0" w:color="auto"/>
            <w:right w:val="none" w:sz="0" w:space="0" w:color="auto"/>
          </w:divBdr>
          <w:divsChild>
            <w:div w:id="463355809">
              <w:marLeft w:val="0"/>
              <w:marRight w:val="0"/>
              <w:marTop w:val="0"/>
              <w:marBottom w:val="0"/>
              <w:divBdr>
                <w:top w:val="none" w:sz="0" w:space="0" w:color="auto"/>
                <w:left w:val="none" w:sz="0" w:space="0" w:color="auto"/>
                <w:bottom w:val="none" w:sz="0" w:space="0" w:color="auto"/>
                <w:right w:val="none" w:sz="0" w:space="0" w:color="auto"/>
              </w:divBdr>
              <w:divsChild>
                <w:div w:id="1224290034">
                  <w:marLeft w:val="0"/>
                  <w:marRight w:val="0"/>
                  <w:marTop w:val="0"/>
                  <w:marBottom w:val="0"/>
                  <w:divBdr>
                    <w:top w:val="none" w:sz="0" w:space="0" w:color="auto"/>
                    <w:left w:val="none" w:sz="0" w:space="0" w:color="auto"/>
                    <w:bottom w:val="none" w:sz="0" w:space="0" w:color="auto"/>
                    <w:right w:val="none" w:sz="0" w:space="0" w:color="auto"/>
                  </w:divBdr>
                  <w:divsChild>
                    <w:div w:id="1835216674">
                      <w:marLeft w:val="0"/>
                      <w:marRight w:val="0"/>
                      <w:marTop w:val="0"/>
                      <w:marBottom w:val="0"/>
                      <w:divBdr>
                        <w:top w:val="none" w:sz="0" w:space="0" w:color="auto"/>
                        <w:left w:val="none" w:sz="0" w:space="0" w:color="auto"/>
                        <w:bottom w:val="none" w:sz="0" w:space="0" w:color="auto"/>
                        <w:right w:val="none" w:sz="0" w:space="0" w:color="auto"/>
                      </w:divBdr>
                      <w:divsChild>
                        <w:div w:id="1107894480">
                          <w:marLeft w:val="0"/>
                          <w:marRight w:val="0"/>
                          <w:marTop w:val="0"/>
                          <w:marBottom w:val="0"/>
                          <w:divBdr>
                            <w:top w:val="none" w:sz="0" w:space="0" w:color="auto"/>
                            <w:left w:val="none" w:sz="0" w:space="0" w:color="auto"/>
                            <w:bottom w:val="none" w:sz="0" w:space="0" w:color="auto"/>
                            <w:right w:val="none" w:sz="0" w:space="0" w:color="auto"/>
                          </w:divBdr>
                          <w:divsChild>
                            <w:div w:id="9318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488319">
      <w:bodyDiv w:val="1"/>
      <w:marLeft w:val="0"/>
      <w:marRight w:val="0"/>
      <w:marTop w:val="0"/>
      <w:marBottom w:val="0"/>
      <w:divBdr>
        <w:top w:val="none" w:sz="0" w:space="0" w:color="auto"/>
        <w:left w:val="none" w:sz="0" w:space="0" w:color="auto"/>
        <w:bottom w:val="none" w:sz="0" w:space="0" w:color="auto"/>
        <w:right w:val="none" w:sz="0" w:space="0" w:color="auto"/>
      </w:divBdr>
    </w:div>
    <w:div w:id="364720811">
      <w:bodyDiv w:val="1"/>
      <w:marLeft w:val="0"/>
      <w:marRight w:val="0"/>
      <w:marTop w:val="0"/>
      <w:marBottom w:val="0"/>
      <w:divBdr>
        <w:top w:val="none" w:sz="0" w:space="0" w:color="auto"/>
        <w:left w:val="none" w:sz="0" w:space="0" w:color="auto"/>
        <w:bottom w:val="none" w:sz="0" w:space="0" w:color="auto"/>
        <w:right w:val="none" w:sz="0" w:space="0" w:color="auto"/>
      </w:divBdr>
      <w:divsChild>
        <w:div w:id="949430699">
          <w:marLeft w:val="0"/>
          <w:marRight w:val="0"/>
          <w:marTop w:val="0"/>
          <w:marBottom w:val="0"/>
          <w:divBdr>
            <w:top w:val="none" w:sz="0" w:space="0" w:color="auto"/>
            <w:left w:val="none" w:sz="0" w:space="0" w:color="auto"/>
            <w:bottom w:val="none" w:sz="0" w:space="0" w:color="auto"/>
            <w:right w:val="none" w:sz="0" w:space="0" w:color="auto"/>
          </w:divBdr>
        </w:div>
      </w:divsChild>
    </w:div>
    <w:div w:id="438258962">
      <w:bodyDiv w:val="1"/>
      <w:marLeft w:val="0"/>
      <w:marRight w:val="0"/>
      <w:marTop w:val="0"/>
      <w:marBottom w:val="0"/>
      <w:divBdr>
        <w:top w:val="none" w:sz="0" w:space="0" w:color="auto"/>
        <w:left w:val="none" w:sz="0" w:space="0" w:color="auto"/>
        <w:bottom w:val="none" w:sz="0" w:space="0" w:color="auto"/>
        <w:right w:val="none" w:sz="0" w:space="0" w:color="auto"/>
      </w:divBdr>
    </w:div>
    <w:div w:id="471946793">
      <w:bodyDiv w:val="1"/>
      <w:marLeft w:val="0"/>
      <w:marRight w:val="0"/>
      <w:marTop w:val="0"/>
      <w:marBottom w:val="0"/>
      <w:divBdr>
        <w:top w:val="none" w:sz="0" w:space="0" w:color="auto"/>
        <w:left w:val="none" w:sz="0" w:space="0" w:color="auto"/>
        <w:bottom w:val="none" w:sz="0" w:space="0" w:color="auto"/>
        <w:right w:val="none" w:sz="0" w:space="0" w:color="auto"/>
      </w:divBdr>
    </w:div>
    <w:div w:id="585920293">
      <w:bodyDiv w:val="1"/>
      <w:marLeft w:val="0"/>
      <w:marRight w:val="0"/>
      <w:marTop w:val="0"/>
      <w:marBottom w:val="0"/>
      <w:divBdr>
        <w:top w:val="none" w:sz="0" w:space="0" w:color="auto"/>
        <w:left w:val="none" w:sz="0" w:space="0" w:color="auto"/>
        <w:bottom w:val="none" w:sz="0" w:space="0" w:color="auto"/>
        <w:right w:val="none" w:sz="0" w:space="0" w:color="auto"/>
      </w:divBdr>
    </w:div>
    <w:div w:id="600918479">
      <w:bodyDiv w:val="1"/>
      <w:marLeft w:val="0"/>
      <w:marRight w:val="0"/>
      <w:marTop w:val="0"/>
      <w:marBottom w:val="0"/>
      <w:divBdr>
        <w:top w:val="none" w:sz="0" w:space="0" w:color="auto"/>
        <w:left w:val="none" w:sz="0" w:space="0" w:color="auto"/>
        <w:bottom w:val="none" w:sz="0" w:space="0" w:color="auto"/>
        <w:right w:val="none" w:sz="0" w:space="0" w:color="auto"/>
      </w:divBdr>
      <w:divsChild>
        <w:div w:id="822769977">
          <w:marLeft w:val="0"/>
          <w:marRight w:val="0"/>
          <w:marTop w:val="0"/>
          <w:marBottom w:val="0"/>
          <w:divBdr>
            <w:top w:val="none" w:sz="0" w:space="0" w:color="auto"/>
            <w:left w:val="none" w:sz="0" w:space="0" w:color="auto"/>
            <w:bottom w:val="none" w:sz="0" w:space="0" w:color="auto"/>
            <w:right w:val="none" w:sz="0" w:space="0" w:color="auto"/>
          </w:divBdr>
        </w:div>
      </w:divsChild>
    </w:div>
    <w:div w:id="718869752">
      <w:bodyDiv w:val="1"/>
      <w:marLeft w:val="0"/>
      <w:marRight w:val="0"/>
      <w:marTop w:val="0"/>
      <w:marBottom w:val="0"/>
      <w:divBdr>
        <w:top w:val="none" w:sz="0" w:space="0" w:color="auto"/>
        <w:left w:val="none" w:sz="0" w:space="0" w:color="auto"/>
        <w:bottom w:val="none" w:sz="0" w:space="0" w:color="auto"/>
        <w:right w:val="none" w:sz="0" w:space="0" w:color="auto"/>
      </w:divBdr>
      <w:divsChild>
        <w:div w:id="1475873066">
          <w:marLeft w:val="0"/>
          <w:marRight w:val="0"/>
          <w:marTop w:val="0"/>
          <w:marBottom w:val="0"/>
          <w:divBdr>
            <w:top w:val="none" w:sz="0" w:space="0" w:color="auto"/>
            <w:left w:val="none" w:sz="0" w:space="0" w:color="auto"/>
            <w:bottom w:val="none" w:sz="0" w:space="0" w:color="auto"/>
            <w:right w:val="none" w:sz="0" w:space="0" w:color="auto"/>
          </w:divBdr>
        </w:div>
      </w:divsChild>
    </w:div>
    <w:div w:id="725643939">
      <w:bodyDiv w:val="1"/>
      <w:marLeft w:val="0"/>
      <w:marRight w:val="0"/>
      <w:marTop w:val="0"/>
      <w:marBottom w:val="0"/>
      <w:divBdr>
        <w:top w:val="none" w:sz="0" w:space="0" w:color="auto"/>
        <w:left w:val="none" w:sz="0" w:space="0" w:color="auto"/>
        <w:bottom w:val="none" w:sz="0" w:space="0" w:color="auto"/>
        <w:right w:val="none" w:sz="0" w:space="0" w:color="auto"/>
      </w:divBdr>
      <w:divsChild>
        <w:div w:id="397410375">
          <w:marLeft w:val="0"/>
          <w:marRight w:val="0"/>
          <w:marTop w:val="0"/>
          <w:marBottom w:val="0"/>
          <w:divBdr>
            <w:top w:val="none" w:sz="0" w:space="0" w:color="auto"/>
            <w:left w:val="none" w:sz="0" w:space="0" w:color="auto"/>
            <w:bottom w:val="none" w:sz="0" w:space="0" w:color="auto"/>
            <w:right w:val="none" w:sz="0" w:space="0" w:color="auto"/>
          </w:divBdr>
        </w:div>
      </w:divsChild>
    </w:div>
    <w:div w:id="851408531">
      <w:bodyDiv w:val="1"/>
      <w:marLeft w:val="0"/>
      <w:marRight w:val="0"/>
      <w:marTop w:val="0"/>
      <w:marBottom w:val="0"/>
      <w:divBdr>
        <w:top w:val="none" w:sz="0" w:space="0" w:color="auto"/>
        <w:left w:val="none" w:sz="0" w:space="0" w:color="auto"/>
        <w:bottom w:val="none" w:sz="0" w:space="0" w:color="auto"/>
        <w:right w:val="none" w:sz="0" w:space="0" w:color="auto"/>
      </w:divBdr>
      <w:divsChild>
        <w:div w:id="1402872609">
          <w:marLeft w:val="0"/>
          <w:marRight w:val="0"/>
          <w:marTop w:val="0"/>
          <w:marBottom w:val="0"/>
          <w:divBdr>
            <w:top w:val="none" w:sz="0" w:space="0" w:color="auto"/>
            <w:left w:val="none" w:sz="0" w:space="0" w:color="auto"/>
            <w:bottom w:val="none" w:sz="0" w:space="0" w:color="auto"/>
            <w:right w:val="none" w:sz="0" w:space="0" w:color="auto"/>
          </w:divBdr>
        </w:div>
      </w:divsChild>
    </w:div>
    <w:div w:id="899175154">
      <w:bodyDiv w:val="1"/>
      <w:marLeft w:val="0"/>
      <w:marRight w:val="0"/>
      <w:marTop w:val="0"/>
      <w:marBottom w:val="0"/>
      <w:divBdr>
        <w:top w:val="none" w:sz="0" w:space="0" w:color="auto"/>
        <w:left w:val="none" w:sz="0" w:space="0" w:color="auto"/>
        <w:bottom w:val="none" w:sz="0" w:space="0" w:color="auto"/>
        <w:right w:val="none" w:sz="0" w:space="0" w:color="auto"/>
      </w:divBdr>
    </w:div>
    <w:div w:id="909268453">
      <w:bodyDiv w:val="1"/>
      <w:marLeft w:val="0"/>
      <w:marRight w:val="0"/>
      <w:marTop w:val="0"/>
      <w:marBottom w:val="0"/>
      <w:divBdr>
        <w:top w:val="none" w:sz="0" w:space="0" w:color="auto"/>
        <w:left w:val="none" w:sz="0" w:space="0" w:color="auto"/>
        <w:bottom w:val="none" w:sz="0" w:space="0" w:color="auto"/>
        <w:right w:val="none" w:sz="0" w:space="0" w:color="auto"/>
      </w:divBdr>
      <w:divsChild>
        <w:div w:id="1393849834">
          <w:marLeft w:val="0"/>
          <w:marRight w:val="0"/>
          <w:marTop w:val="0"/>
          <w:marBottom w:val="0"/>
          <w:divBdr>
            <w:top w:val="none" w:sz="0" w:space="0" w:color="auto"/>
            <w:left w:val="none" w:sz="0" w:space="0" w:color="auto"/>
            <w:bottom w:val="none" w:sz="0" w:space="0" w:color="auto"/>
            <w:right w:val="none" w:sz="0" w:space="0" w:color="auto"/>
          </w:divBdr>
          <w:divsChild>
            <w:div w:id="193936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5823">
      <w:bodyDiv w:val="1"/>
      <w:marLeft w:val="0"/>
      <w:marRight w:val="0"/>
      <w:marTop w:val="0"/>
      <w:marBottom w:val="0"/>
      <w:divBdr>
        <w:top w:val="none" w:sz="0" w:space="0" w:color="auto"/>
        <w:left w:val="none" w:sz="0" w:space="0" w:color="auto"/>
        <w:bottom w:val="none" w:sz="0" w:space="0" w:color="auto"/>
        <w:right w:val="none" w:sz="0" w:space="0" w:color="auto"/>
      </w:divBdr>
    </w:div>
    <w:div w:id="1414665236">
      <w:bodyDiv w:val="1"/>
      <w:marLeft w:val="0"/>
      <w:marRight w:val="0"/>
      <w:marTop w:val="0"/>
      <w:marBottom w:val="0"/>
      <w:divBdr>
        <w:top w:val="none" w:sz="0" w:space="0" w:color="auto"/>
        <w:left w:val="none" w:sz="0" w:space="0" w:color="auto"/>
        <w:bottom w:val="none" w:sz="0" w:space="0" w:color="auto"/>
        <w:right w:val="none" w:sz="0" w:space="0" w:color="auto"/>
      </w:divBdr>
    </w:div>
    <w:div w:id="1451436159">
      <w:bodyDiv w:val="1"/>
      <w:marLeft w:val="0"/>
      <w:marRight w:val="0"/>
      <w:marTop w:val="0"/>
      <w:marBottom w:val="0"/>
      <w:divBdr>
        <w:top w:val="none" w:sz="0" w:space="0" w:color="auto"/>
        <w:left w:val="none" w:sz="0" w:space="0" w:color="auto"/>
        <w:bottom w:val="none" w:sz="0" w:space="0" w:color="auto"/>
        <w:right w:val="none" w:sz="0" w:space="0" w:color="auto"/>
      </w:divBdr>
    </w:div>
    <w:div w:id="1487480626">
      <w:bodyDiv w:val="1"/>
      <w:marLeft w:val="0"/>
      <w:marRight w:val="0"/>
      <w:marTop w:val="0"/>
      <w:marBottom w:val="0"/>
      <w:divBdr>
        <w:top w:val="none" w:sz="0" w:space="0" w:color="auto"/>
        <w:left w:val="none" w:sz="0" w:space="0" w:color="auto"/>
        <w:bottom w:val="none" w:sz="0" w:space="0" w:color="auto"/>
        <w:right w:val="none" w:sz="0" w:space="0" w:color="auto"/>
      </w:divBdr>
    </w:div>
    <w:div w:id="1527020215">
      <w:bodyDiv w:val="1"/>
      <w:marLeft w:val="0"/>
      <w:marRight w:val="0"/>
      <w:marTop w:val="0"/>
      <w:marBottom w:val="0"/>
      <w:divBdr>
        <w:top w:val="none" w:sz="0" w:space="0" w:color="auto"/>
        <w:left w:val="none" w:sz="0" w:space="0" w:color="auto"/>
        <w:bottom w:val="none" w:sz="0" w:space="0" w:color="auto"/>
        <w:right w:val="none" w:sz="0" w:space="0" w:color="auto"/>
      </w:divBdr>
    </w:div>
    <w:div w:id="1691056980">
      <w:bodyDiv w:val="1"/>
      <w:marLeft w:val="0"/>
      <w:marRight w:val="0"/>
      <w:marTop w:val="0"/>
      <w:marBottom w:val="0"/>
      <w:divBdr>
        <w:top w:val="none" w:sz="0" w:space="0" w:color="auto"/>
        <w:left w:val="none" w:sz="0" w:space="0" w:color="auto"/>
        <w:bottom w:val="none" w:sz="0" w:space="0" w:color="auto"/>
        <w:right w:val="none" w:sz="0" w:space="0" w:color="auto"/>
      </w:divBdr>
      <w:divsChild>
        <w:div w:id="1402602399">
          <w:marLeft w:val="0"/>
          <w:marRight w:val="0"/>
          <w:marTop w:val="0"/>
          <w:marBottom w:val="0"/>
          <w:divBdr>
            <w:top w:val="none" w:sz="0" w:space="0" w:color="auto"/>
            <w:left w:val="none" w:sz="0" w:space="0" w:color="auto"/>
            <w:bottom w:val="none" w:sz="0" w:space="0" w:color="auto"/>
            <w:right w:val="none" w:sz="0" w:space="0" w:color="auto"/>
          </w:divBdr>
        </w:div>
      </w:divsChild>
    </w:div>
    <w:div w:id="1728263590">
      <w:bodyDiv w:val="1"/>
      <w:marLeft w:val="0"/>
      <w:marRight w:val="0"/>
      <w:marTop w:val="0"/>
      <w:marBottom w:val="0"/>
      <w:divBdr>
        <w:top w:val="none" w:sz="0" w:space="0" w:color="auto"/>
        <w:left w:val="none" w:sz="0" w:space="0" w:color="auto"/>
        <w:bottom w:val="none" w:sz="0" w:space="0" w:color="auto"/>
        <w:right w:val="none" w:sz="0" w:space="0" w:color="auto"/>
      </w:divBdr>
    </w:div>
    <w:div w:id="2120444969">
      <w:bodyDiv w:val="1"/>
      <w:marLeft w:val="0"/>
      <w:marRight w:val="0"/>
      <w:marTop w:val="0"/>
      <w:marBottom w:val="0"/>
      <w:divBdr>
        <w:top w:val="none" w:sz="0" w:space="0" w:color="auto"/>
        <w:left w:val="none" w:sz="0" w:space="0" w:color="auto"/>
        <w:bottom w:val="none" w:sz="0" w:space="0" w:color="auto"/>
        <w:right w:val="none" w:sz="0" w:space="0" w:color="auto"/>
      </w:divBdr>
      <w:divsChild>
        <w:div w:id="1708406537">
          <w:marLeft w:val="0"/>
          <w:marRight w:val="0"/>
          <w:marTop w:val="0"/>
          <w:marBottom w:val="0"/>
          <w:divBdr>
            <w:top w:val="none" w:sz="0" w:space="0" w:color="auto"/>
            <w:left w:val="none" w:sz="0" w:space="0" w:color="auto"/>
            <w:bottom w:val="none" w:sz="0" w:space="0" w:color="auto"/>
            <w:right w:val="none" w:sz="0" w:space="0" w:color="auto"/>
          </w:divBdr>
          <w:divsChild>
            <w:div w:id="393623025">
              <w:marLeft w:val="0"/>
              <w:marRight w:val="0"/>
              <w:marTop w:val="0"/>
              <w:marBottom w:val="0"/>
              <w:divBdr>
                <w:top w:val="none" w:sz="0" w:space="0" w:color="auto"/>
                <w:left w:val="none" w:sz="0" w:space="0" w:color="auto"/>
                <w:bottom w:val="none" w:sz="0" w:space="0" w:color="auto"/>
                <w:right w:val="none" w:sz="0" w:space="0" w:color="auto"/>
              </w:divBdr>
              <w:divsChild>
                <w:div w:id="1072891718">
                  <w:marLeft w:val="0"/>
                  <w:marRight w:val="0"/>
                  <w:marTop w:val="0"/>
                  <w:marBottom w:val="0"/>
                  <w:divBdr>
                    <w:top w:val="none" w:sz="0" w:space="0" w:color="auto"/>
                    <w:left w:val="none" w:sz="0" w:space="0" w:color="auto"/>
                    <w:bottom w:val="none" w:sz="0" w:space="0" w:color="auto"/>
                    <w:right w:val="none" w:sz="0" w:space="0" w:color="auto"/>
                  </w:divBdr>
                  <w:divsChild>
                    <w:div w:id="2065904101">
                      <w:marLeft w:val="0"/>
                      <w:marRight w:val="0"/>
                      <w:marTop w:val="0"/>
                      <w:marBottom w:val="0"/>
                      <w:divBdr>
                        <w:top w:val="none" w:sz="0" w:space="0" w:color="auto"/>
                        <w:left w:val="none" w:sz="0" w:space="0" w:color="auto"/>
                        <w:bottom w:val="none" w:sz="0" w:space="0" w:color="auto"/>
                        <w:right w:val="none" w:sz="0" w:space="0" w:color="auto"/>
                      </w:divBdr>
                      <w:divsChild>
                        <w:div w:id="143857849">
                          <w:marLeft w:val="0"/>
                          <w:marRight w:val="0"/>
                          <w:marTop w:val="0"/>
                          <w:marBottom w:val="0"/>
                          <w:divBdr>
                            <w:top w:val="none" w:sz="0" w:space="0" w:color="auto"/>
                            <w:left w:val="none" w:sz="0" w:space="0" w:color="auto"/>
                            <w:bottom w:val="none" w:sz="0" w:space="0" w:color="auto"/>
                            <w:right w:val="none" w:sz="0" w:space="0" w:color="auto"/>
                          </w:divBdr>
                          <w:divsChild>
                            <w:div w:id="17586826">
                              <w:marLeft w:val="0"/>
                              <w:marRight w:val="0"/>
                              <w:marTop w:val="0"/>
                              <w:marBottom w:val="0"/>
                              <w:divBdr>
                                <w:top w:val="none" w:sz="0" w:space="0" w:color="auto"/>
                                <w:left w:val="none" w:sz="0" w:space="0" w:color="auto"/>
                                <w:bottom w:val="none" w:sz="0" w:space="0" w:color="auto"/>
                                <w:right w:val="none" w:sz="0" w:space="0" w:color="auto"/>
                              </w:divBdr>
                              <w:divsChild>
                                <w:div w:id="1854875040">
                                  <w:marLeft w:val="0"/>
                                  <w:marRight w:val="0"/>
                                  <w:marTop w:val="0"/>
                                  <w:marBottom w:val="0"/>
                                  <w:divBdr>
                                    <w:top w:val="none" w:sz="0" w:space="0" w:color="auto"/>
                                    <w:left w:val="none" w:sz="0" w:space="0" w:color="auto"/>
                                    <w:bottom w:val="none" w:sz="0" w:space="0" w:color="auto"/>
                                    <w:right w:val="none" w:sz="0" w:space="0" w:color="auto"/>
                                  </w:divBdr>
                                  <w:divsChild>
                                    <w:div w:id="2019576136">
                                      <w:marLeft w:val="0"/>
                                      <w:marRight w:val="0"/>
                                      <w:marTop w:val="0"/>
                                      <w:marBottom w:val="0"/>
                                      <w:divBdr>
                                        <w:top w:val="none" w:sz="0" w:space="0" w:color="auto"/>
                                        <w:left w:val="none" w:sz="0" w:space="0" w:color="auto"/>
                                        <w:bottom w:val="none" w:sz="0" w:space="0" w:color="auto"/>
                                        <w:right w:val="none" w:sz="0" w:space="0" w:color="auto"/>
                                      </w:divBdr>
                                      <w:divsChild>
                                        <w:div w:id="10041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estaxinstitute.com/resources/remote-seller-nexus-char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valara.com/us/en/learn/sales-tax/south-dakota-wayfai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A46B4-C76C-4930-AF3C-9BD922CBA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California enacted S</vt:lpstr>
    </vt:vector>
  </TitlesOfParts>
  <Company>Toshiba</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enacted S</dc:title>
  <dc:subject/>
  <dc:creator>George Delta</dc:creator>
  <cp:keywords/>
  <cp:lastModifiedBy>Steve Slagle</cp:lastModifiedBy>
  <cp:revision>5</cp:revision>
  <dcterms:created xsi:type="dcterms:W3CDTF">2019-06-27T18:41:00Z</dcterms:created>
  <dcterms:modified xsi:type="dcterms:W3CDTF">2019-06-27T18:49:00Z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-812351401</vt:i4>
  </property>
  <property fmtid="{D5CDD505-2E9C-101B-9397-08002B2CF9AE}" pid="3" name="_EmailSubject">
    <vt:lpwstr>Federal Gift Card Legislation</vt:lpwstr>
  </property>
  <property fmtid="{D5CDD505-2E9C-101B-9397-08002B2CF9AE}" pid="4" name="_AuthorEmail">
    <vt:lpwstr>gdelta@cox.net</vt:lpwstr>
  </property>
  <property fmtid="{D5CDD505-2E9C-101B-9397-08002B2CF9AE}" pid="5" name="_AuthorEmailDisplayName">
    <vt:lpwstr>GeorgeDelta</vt:lpwstr>
  </property>
  <property fmtid="{D5CDD505-2E9C-101B-9397-08002B2CF9AE}" pid="6" name="_ReviewingToolsShownOnce">
    <vt:lpwstr/>
  </property>
</Properties>
</file>