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C3644" w14:textId="170E388E" w:rsidR="00716AA0" w:rsidRDefault="00716AA0">
      <w:pPr>
        <w:pStyle w:val="Title"/>
      </w:pPr>
    </w:p>
    <w:p w14:paraId="4E737840" w14:textId="46046E67" w:rsidR="00B12A16" w:rsidRPr="00B12024" w:rsidRDefault="00B12A16">
      <w:pPr>
        <w:pStyle w:val="Title"/>
      </w:pPr>
      <w:r w:rsidRPr="00B12024">
        <w:t xml:space="preserve">WASHINGTON </w:t>
      </w:r>
      <w:r w:rsidR="00DE174E" w:rsidRPr="00B12024">
        <w:t>UPDATE</w:t>
      </w:r>
    </w:p>
    <w:p w14:paraId="3ED912D5" w14:textId="77777777" w:rsidR="00B12A16" w:rsidRPr="00B12024" w:rsidRDefault="00B12A16">
      <w:pPr>
        <w:rPr>
          <w:sz w:val="44"/>
          <w:szCs w:val="44"/>
        </w:rPr>
      </w:pPr>
    </w:p>
    <w:p w14:paraId="28B43837" w14:textId="77777777" w:rsidR="00B12A16" w:rsidRPr="00B12024" w:rsidRDefault="00B12A16">
      <w:pPr>
        <w:rPr>
          <w:sz w:val="18"/>
          <w:szCs w:val="18"/>
        </w:rPr>
      </w:pPr>
      <w:r w:rsidRPr="00B12024">
        <w:rPr>
          <w:sz w:val="18"/>
          <w:szCs w:val="18"/>
        </w:rPr>
        <w:tab/>
        <w:t>Incentive Federation, Inc.</w:t>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t>George B. Delta, Esq.</w:t>
      </w:r>
    </w:p>
    <w:p w14:paraId="24DD70B8" w14:textId="38599E21" w:rsidR="00B12A16" w:rsidRPr="00B12024" w:rsidRDefault="00B12A16">
      <w:pPr>
        <w:rPr>
          <w:sz w:val="18"/>
          <w:szCs w:val="18"/>
        </w:rPr>
      </w:pPr>
      <w:r w:rsidRPr="00B12024">
        <w:rPr>
          <w:sz w:val="18"/>
          <w:szCs w:val="18"/>
        </w:rPr>
        <w:tab/>
      </w:r>
      <w:r w:rsidR="008322A9">
        <w:rPr>
          <w:sz w:val="18"/>
          <w:szCs w:val="18"/>
        </w:rPr>
        <w:t xml:space="preserve">June 5, </w:t>
      </w:r>
      <w:r w:rsidRPr="00B12024">
        <w:rPr>
          <w:sz w:val="18"/>
          <w:szCs w:val="18"/>
        </w:rPr>
        <w:t>20</w:t>
      </w:r>
      <w:r w:rsidR="00107774">
        <w:rPr>
          <w:sz w:val="18"/>
          <w:szCs w:val="18"/>
        </w:rPr>
        <w:t>20</w:t>
      </w:r>
      <w:r w:rsidR="00B31E41" w:rsidRPr="00B12024">
        <w:rPr>
          <w:sz w:val="18"/>
          <w:szCs w:val="18"/>
        </w:rPr>
        <w:tab/>
      </w:r>
      <w:r w:rsidR="00B31E41" w:rsidRPr="00B12024">
        <w:rPr>
          <w:sz w:val="18"/>
          <w:szCs w:val="18"/>
        </w:rPr>
        <w:tab/>
      </w:r>
      <w:r w:rsidR="00B31E41" w:rsidRPr="00B12024">
        <w:rPr>
          <w:sz w:val="18"/>
          <w:szCs w:val="18"/>
        </w:rPr>
        <w:tab/>
      </w:r>
      <w:r w:rsidR="00B31E41" w:rsidRPr="00B12024">
        <w:rPr>
          <w:sz w:val="18"/>
          <w:szCs w:val="18"/>
        </w:rPr>
        <w:tab/>
      </w:r>
      <w:r w:rsidR="007C0E3F">
        <w:rPr>
          <w:sz w:val="18"/>
          <w:szCs w:val="18"/>
        </w:rPr>
        <w:tab/>
      </w:r>
      <w:r w:rsidR="007C0E3F">
        <w:rPr>
          <w:sz w:val="18"/>
          <w:szCs w:val="18"/>
        </w:rPr>
        <w:tab/>
      </w:r>
      <w:r w:rsidR="007C0E3F">
        <w:rPr>
          <w:sz w:val="18"/>
          <w:szCs w:val="18"/>
        </w:rPr>
        <w:tab/>
        <w:t>(</w:t>
      </w:r>
      <w:r w:rsidR="00107774">
        <w:rPr>
          <w:sz w:val="18"/>
          <w:szCs w:val="18"/>
        </w:rPr>
        <w:t>703</w:t>
      </w:r>
      <w:r w:rsidRPr="00B12024">
        <w:rPr>
          <w:sz w:val="18"/>
          <w:szCs w:val="18"/>
        </w:rPr>
        <w:t xml:space="preserve">) </w:t>
      </w:r>
      <w:r w:rsidR="00107774">
        <w:rPr>
          <w:sz w:val="18"/>
          <w:szCs w:val="18"/>
        </w:rPr>
        <w:t>582</w:t>
      </w:r>
      <w:r w:rsidR="007C0E3F">
        <w:rPr>
          <w:sz w:val="18"/>
          <w:szCs w:val="18"/>
        </w:rPr>
        <w:t>-</w:t>
      </w:r>
      <w:r w:rsidR="00107774">
        <w:rPr>
          <w:sz w:val="18"/>
          <w:szCs w:val="18"/>
        </w:rPr>
        <w:t>7040</w:t>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u w:val="single"/>
        </w:rPr>
        <w:t>gdelta@</w:t>
      </w:r>
      <w:r w:rsidR="0054218F">
        <w:rPr>
          <w:sz w:val="18"/>
          <w:szCs w:val="18"/>
          <w:u w:val="single"/>
        </w:rPr>
        <w:t>verizon</w:t>
      </w:r>
      <w:r w:rsidR="007C0E3F">
        <w:rPr>
          <w:sz w:val="18"/>
          <w:szCs w:val="18"/>
          <w:u w:val="single"/>
        </w:rPr>
        <w:t>.net</w:t>
      </w:r>
    </w:p>
    <w:p w14:paraId="5E3A1B68" w14:textId="77777777" w:rsidR="00B12A16" w:rsidRPr="00A47382" w:rsidRDefault="00B12A16"/>
    <w:p w14:paraId="763A5971" w14:textId="77777777" w:rsidR="0054025A" w:rsidRPr="00A47382" w:rsidRDefault="0054025A"/>
    <w:p w14:paraId="567CA9D6" w14:textId="3A757910" w:rsidR="00716AA0" w:rsidRDefault="008322A9" w:rsidP="000E29B1">
      <w:pPr>
        <w:jc w:val="center"/>
      </w:pPr>
      <w:r>
        <w:t xml:space="preserve">Legislative Changes to </w:t>
      </w:r>
      <w:r w:rsidR="000E29B1" w:rsidRPr="006064B5">
        <w:t xml:space="preserve">Small Business </w:t>
      </w:r>
      <w:r>
        <w:t xml:space="preserve">Assistance </w:t>
      </w:r>
    </w:p>
    <w:p w14:paraId="5401D54C" w14:textId="61B07813" w:rsidR="00265F83" w:rsidRDefault="008322A9" w:rsidP="007C1D3F">
      <w:pPr>
        <w:jc w:val="center"/>
      </w:pPr>
      <w:r>
        <w:t xml:space="preserve">(PPP Loans) </w:t>
      </w:r>
      <w:r w:rsidR="00BF6DC0" w:rsidRPr="006064B5">
        <w:t xml:space="preserve">in </w:t>
      </w:r>
      <w:r w:rsidR="000E29B1" w:rsidRPr="006064B5">
        <w:t>the CARES Act of 2020</w:t>
      </w:r>
    </w:p>
    <w:p w14:paraId="155A8A86" w14:textId="3E26DBC8" w:rsidR="007C1D3F" w:rsidRDefault="007C1D3F" w:rsidP="00425C96">
      <w:pPr>
        <w:jc w:val="both"/>
      </w:pPr>
    </w:p>
    <w:p w14:paraId="73CA4EAF" w14:textId="77777777" w:rsidR="00A429C0" w:rsidRPr="006064B5" w:rsidRDefault="00A429C0" w:rsidP="00425C96">
      <w:pPr>
        <w:jc w:val="both"/>
      </w:pPr>
    </w:p>
    <w:p w14:paraId="685CC019" w14:textId="2F6028E9" w:rsidR="0061491D" w:rsidRDefault="008322A9" w:rsidP="0061491D">
      <w:pPr>
        <w:pStyle w:val="Text"/>
        <w:ind w:firstLine="720"/>
        <w:rPr>
          <w:rFonts w:cs="Times New Roman"/>
          <w:sz w:val="24"/>
          <w:szCs w:val="24"/>
        </w:rPr>
      </w:pPr>
      <w:r>
        <w:rPr>
          <w:rFonts w:cs="Times New Roman"/>
          <w:sz w:val="24"/>
          <w:szCs w:val="24"/>
        </w:rPr>
        <w:t xml:space="preserve">On March 31 and April 4, 2020 </w:t>
      </w:r>
      <w:r w:rsidR="00A429C0">
        <w:rPr>
          <w:rFonts w:cs="Times New Roman"/>
          <w:sz w:val="24"/>
          <w:szCs w:val="24"/>
        </w:rPr>
        <w:t xml:space="preserve">the Incentive Federation’s Washington Updates </w:t>
      </w:r>
      <w:r>
        <w:rPr>
          <w:rFonts w:cs="Times New Roman"/>
          <w:sz w:val="24"/>
          <w:szCs w:val="24"/>
        </w:rPr>
        <w:t xml:space="preserve">summarized the most important provisions of the </w:t>
      </w:r>
      <w:r w:rsidR="002E39AB" w:rsidRPr="006064B5">
        <w:rPr>
          <w:rFonts w:cs="Times New Roman"/>
          <w:sz w:val="24"/>
          <w:szCs w:val="24"/>
        </w:rPr>
        <w:t>Coronavirus Aid, Relief, and Economic Security Act (“CARES Act”) of 2020</w:t>
      </w:r>
      <w:r>
        <w:rPr>
          <w:rFonts w:cs="Times New Roman"/>
          <w:sz w:val="24"/>
          <w:szCs w:val="24"/>
        </w:rPr>
        <w:t>,</w:t>
      </w:r>
      <w:r w:rsidR="002E39AB" w:rsidRPr="006064B5">
        <w:rPr>
          <w:rFonts w:cs="Times New Roman"/>
          <w:sz w:val="24"/>
          <w:szCs w:val="24"/>
        </w:rPr>
        <w:t xml:space="preserve"> an omnibus law aimed at providing relief to big businesses, small businesses, households</w:t>
      </w:r>
      <w:r w:rsidR="009C4628" w:rsidRPr="006064B5">
        <w:rPr>
          <w:rFonts w:cs="Times New Roman"/>
          <w:sz w:val="24"/>
          <w:szCs w:val="24"/>
        </w:rPr>
        <w:t>,</w:t>
      </w:r>
      <w:r w:rsidR="002E39AB" w:rsidRPr="006064B5">
        <w:rPr>
          <w:rFonts w:cs="Times New Roman"/>
          <w:sz w:val="24"/>
          <w:szCs w:val="24"/>
        </w:rPr>
        <w:t xml:space="preserve"> the unemployed</w:t>
      </w:r>
      <w:r w:rsidR="009C4628" w:rsidRPr="006064B5">
        <w:rPr>
          <w:rFonts w:cs="Times New Roman"/>
          <w:sz w:val="24"/>
          <w:szCs w:val="24"/>
        </w:rPr>
        <w:t xml:space="preserve">, </w:t>
      </w:r>
      <w:r w:rsidR="00777992" w:rsidRPr="006064B5">
        <w:rPr>
          <w:rFonts w:cs="Times New Roman"/>
          <w:sz w:val="24"/>
          <w:szCs w:val="24"/>
        </w:rPr>
        <w:t xml:space="preserve">mortgage holders, </w:t>
      </w:r>
      <w:r w:rsidR="009C4628" w:rsidRPr="006064B5">
        <w:rPr>
          <w:rFonts w:cs="Times New Roman"/>
          <w:sz w:val="24"/>
          <w:szCs w:val="24"/>
        </w:rPr>
        <w:t>and those with student loans</w:t>
      </w:r>
      <w:r w:rsidR="00BF6DC0" w:rsidRPr="006064B5">
        <w:rPr>
          <w:rFonts w:cs="Times New Roman"/>
          <w:sz w:val="24"/>
          <w:szCs w:val="24"/>
        </w:rPr>
        <w:t>, among others</w:t>
      </w:r>
      <w:r w:rsidR="002E39AB" w:rsidRPr="006064B5">
        <w:rPr>
          <w:rFonts w:cs="Times New Roman"/>
          <w:sz w:val="24"/>
          <w:szCs w:val="24"/>
        </w:rPr>
        <w:t xml:space="preserve">.  </w:t>
      </w:r>
      <w:r w:rsidR="00A429C0">
        <w:rPr>
          <w:rFonts w:cs="Times New Roman"/>
          <w:sz w:val="24"/>
          <w:szCs w:val="24"/>
        </w:rPr>
        <w:t>This update reviews Title I of the CARES Act, which provided relief to small businesses</w:t>
      </w:r>
      <w:r w:rsidR="00716AA0">
        <w:rPr>
          <w:rFonts w:cs="Times New Roman"/>
          <w:sz w:val="24"/>
          <w:szCs w:val="24"/>
        </w:rPr>
        <w:t xml:space="preserve"> </w:t>
      </w:r>
      <w:r w:rsidR="00A429C0">
        <w:rPr>
          <w:rFonts w:cs="Times New Roman"/>
          <w:sz w:val="24"/>
          <w:szCs w:val="24"/>
        </w:rPr>
        <w:t>through Paycheck Protection Program loans, and it analyzes t</w:t>
      </w:r>
      <w:r w:rsidR="008477D2">
        <w:rPr>
          <w:rFonts w:cs="Times New Roman"/>
          <w:sz w:val="24"/>
          <w:szCs w:val="24"/>
        </w:rPr>
        <w:t xml:space="preserve">he </w:t>
      </w:r>
      <w:r w:rsidR="00A429C0">
        <w:rPr>
          <w:rFonts w:cs="Times New Roman"/>
          <w:sz w:val="24"/>
          <w:szCs w:val="24"/>
        </w:rPr>
        <w:t xml:space="preserve">important ameliorative </w:t>
      </w:r>
      <w:r w:rsidR="008477D2">
        <w:rPr>
          <w:rFonts w:cs="Times New Roman"/>
          <w:sz w:val="24"/>
          <w:szCs w:val="24"/>
        </w:rPr>
        <w:t xml:space="preserve">changes Congress made in </w:t>
      </w:r>
      <w:r>
        <w:rPr>
          <w:rFonts w:cs="Times New Roman"/>
          <w:sz w:val="24"/>
          <w:szCs w:val="24"/>
        </w:rPr>
        <w:t xml:space="preserve">the Paycheck Protection Program loan process through </w:t>
      </w:r>
      <w:r w:rsidR="008477D2">
        <w:rPr>
          <w:rFonts w:cs="Times New Roman"/>
          <w:sz w:val="24"/>
          <w:szCs w:val="24"/>
        </w:rPr>
        <w:t xml:space="preserve">the Paycheck Protection Program Flexibility Act enacted on June 5, 2020.  </w:t>
      </w:r>
    </w:p>
    <w:p w14:paraId="66FFA28D" w14:textId="780BFB0C" w:rsidR="007C1D3F" w:rsidRDefault="007C1D3F" w:rsidP="007C1D3F">
      <w:pPr>
        <w:pStyle w:val="Text"/>
        <w:ind w:firstLine="0"/>
        <w:rPr>
          <w:rFonts w:cs="Times New Roman"/>
          <w:sz w:val="24"/>
          <w:szCs w:val="24"/>
        </w:rPr>
      </w:pPr>
    </w:p>
    <w:p w14:paraId="7EAAF6EA" w14:textId="3C76F331" w:rsidR="007C1D3F" w:rsidRPr="007C1D3F" w:rsidRDefault="009F5766" w:rsidP="007C1D3F">
      <w:pPr>
        <w:pStyle w:val="Text"/>
        <w:ind w:firstLine="0"/>
        <w:rPr>
          <w:rFonts w:cs="Times New Roman"/>
          <w:b/>
          <w:bCs/>
          <w:sz w:val="24"/>
          <w:szCs w:val="24"/>
          <w:u w:val="single"/>
        </w:rPr>
      </w:pPr>
      <w:r>
        <w:rPr>
          <w:rFonts w:cs="Times New Roman"/>
          <w:b/>
          <w:bCs/>
          <w:sz w:val="24"/>
          <w:szCs w:val="24"/>
          <w:u w:val="single"/>
        </w:rPr>
        <w:t>Creation of P</w:t>
      </w:r>
      <w:r w:rsidR="007C1D3F" w:rsidRPr="007C1D3F">
        <w:rPr>
          <w:rFonts w:cs="Times New Roman"/>
          <w:b/>
          <w:bCs/>
          <w:sz w:val="24"/>
          <w:szCs w:val="24"/>
          <w:u w:val="single"/>
        </w:rPr>
        <w:t xml:space="preserve">ayment Protection </w:t>
      </w:r>
      <w:r w:rsidR="00AF5416">
        <w:rPr>
          <w:rFonts w:cs="Times New Roman"/>
          <w:b/>
          <w:bCs/>
          <w:sz w:val="24"/>
          <w:szCs w:val="24"/>
          <w:u w:val="single"/>
        </w:rPr>
        <w:t>Program</w:t>
      </w:r>
    </w:p>
    <w:p w14:paraId="194E4F63" w14:textId="369973CE" w:rsidR="00873F5A" w:rsidRPr="006064B5" w:rsidRDefault="00577459" w:rsidP="00577459">
      <w:pPr>
        <w:pStyle w:val="Text"/>
        <w:ind w:firstLine="720"/>
        <w:rPr>
          <w:rFonts w:cs="Times New Roman"/>
          <w:sz w:val="24"/>
          <w:szCs w:val="24"/>
        </w:rPr>
      </w:pPr>
      <w:r w:rsidRPr="006064B5">
        <w:rPr>
          <w:rFonts w:cs="Times New Roman"/>
          <w:sz w:val="24"/>
          <w:szCs w:val="24"/>
        </w:rPr>
        <w:t>Title I</w:t>
      </w:r>
      <w:r w:rsidR="0061491D">
        <w:rPr>
          <w:rFonts w:cs="Times New Roman"/>
          <w:sz w:val="24"/>
          <w:szCs w:val="24"/>
        </w:rPr>
        <w:t xml:space="preserve"> of the CARES Act </w:t>
      </w:r>
      <w:r w:rsidR="00100870" w:rsidRPr="006064B5">
        <w:rPr>
          <w:rFonts w:cs="Times New Roman"/>
          <w:sz w:val="24"/>
          <w:szCs w:val="24"/>
        </w:rPr>
        <w:t>provide</w:t>
      </w:r>
      <w:r w:rsidR="0061491D">
        <w:rPr>
          <w:rFonts w:cs="Times New Roman"/>
          <w:sz w:val="24"/>
          <w:szCs w:val="24"/>
        </w:rPr>
        <w:t>d</w:t>
      </w:r>
      <w:r w:rsidR="00100870" w:rsidRPr="006064B5">
        <w:rPr>
          <w:rFonts w:cs="Times New Roman"/>
          <w:sz w:val="24"/>
          <w:szCs w:val="24"/>
        </w:rPr>
        <w:t xml:space="preserve"> relief to small businesses by creating in section 1102</w:t>
      </w:r>
      <w:r w:rsidRPr="006064B5">
        <w:rPr>
          <w:rFonts w:cs="Times New Roman"/>
          <w:sz w:val="24"/>
          <w:szCs w:val="24"/>
        </w:rPr>
        <w:t xml:space="preserve"> a new program within the Small Business Administration’s (</w:t>
      </w:r>
      <w:r w:rsidR="00CD5AD3" w:rsidRPr="006064B5">
        <w:rPr>
          <w:rFonts w:cs="Times New Roman"/>
          <w:sz w:val="24"/>
          <w:szCs w:val="24"/>
        </w:rPr>
        <w:t>“</w:t>
      </w:r>
      <w:r w:rsidRPr="006064B5">
        <w:rPr>
          <w:rFonts w:cs="Times New Roman"/>
          <w:sz w:val="24"/>
          <w:szCs w:val="24"/>
        </w:rPr>
        <w:t>SBA</w:t>
      </w:r>
      <w:r w:rsidR="00CD5AD3" w:rsidRPr="006064B5">
        <w:rPr>
          <w:rFonts w:cs="Times New Roman"/>
          <w:sz w:val="24"/>
          <w:szCs w:val="24"/>
        </w:rPr>
        <w:t>”</w:t>
      </w:r>
      <w:r w:rsidRPr="006064B5">
        <w:rPr>
          <w:rFonts w:cs="Times New Roman"/>
          <w:sz w:val="24"/>
          <w:szCs w:val="24"/>
        </w:rPr>
        <w:t>) 7(a) Loan Program called the “Paycheck Protection Program” (</w:t>
      </w:r>
      <w:r w:rsidR="002D7B4D" w:rsidRPr="006064B5">
        <w:rPr>
          <w:rFonts w:cs="Times New Roman"/>
          <w:sz w:val="24"/>
          <w:szCs w:val="24"/>
        </w:rPr>
        <w:t>“</w:t>
      </w:r>
      <w:r w:rsidRPr="006064B5">
        <w:rPr>
          <w:rFonts w:cs="Times New Roman"/>
          <w:sz w:val="24"/>
          <w:szCs w:val="24"/>
        </w:rPr>
        <w:t>PPP</w:t>
      </w:r>
      <w:r w:rsidR="002D7B4D" w:rsidRPr="006064B5">
        <w:rPr>
          <w:rFonts w:cs="Times New Roman"/>
          <w:sz w:val="24"/>
          <w:szCs w:val="24"/>
        </w:rPr>
        <w:t>”</w:t>
      </w:r>
      <w:r w:rsidRPr="006064B5">
        <w:rPr>
          <w:rFonts w:cs="Times New Roman"/>
          <w:sz w:val="24"/>
          <w:szCs w:val="24"/>
        </w:rPr>
        <w:t>).</w:t>
      </w:r>
      <w:r w:rsidR="00100870" w:rsidRPr="006064B5">
        <w:rPr>
          <w:rFonts w:cs="Times New Roman"/>
          <w:sz w:val="24"/>
          <w:szCs w:val="24"/>
        </w:rPr>
        <w:t xml:space="preserve">  </w:t>
      </w:r>
      <w:r w:rsidRPr="006064B5">
        <w:rPr>
          <w:rFonts w:cs="Times New Roman"/>
          <w:sz w:val="24"/>
          <w:szCs w:val="24"/>
        </w:rPr>
        <w:t xml:space="preserve">Under the </w:t>
      </w:r>
      <w:r w:rsidR="00100870" w:rsidRPr="006064B5">
        <w:rPr>
          <w:rFonts w:cs="Times New Roman"/>
          <w:sz w:val="24"/>
          <w:szCs w:val="24"/>
        </w:rPr>
        <w:t xml:space="preserve">newly created </w:t>
      </w:r>
      <w:r w:rsidRPr="006064B5">
        <w:rPr>
          <w:rFonts w:cs="Times New Roman"/>
          <w:sz w:val="24"/>
          <w:szCs w:val="24"/>
        </w:rPr>
        <w:t xml:space="preserve">PPP, </w:t>
      </w:r>
      <w:r w:rsidR="00CD5AD3" w:rsidRPr="006064B5">
        <w:rPr>
          <w:rFonts w:cs="Times New Roman"/>
          <w:sz w:val="24"/>
          <w:szCs w:val="24"/>
        </w:rPr>
        <w:t xml:space="preserve">the </w:t>
      </w:r>
      <w:r w:rsidRPr="006064B5">
        <w:rPr>
          <w:rFonts w:cs="Times New Roman"/>
          <w:sz w:val="24"/>
          <w:szCs w:val="24"/>
        </w:rPr>
        <w:t xml:space="preserve">SBA </w:t>
      </w:r>
      <w:r w:rsidRPr="007C1D3F">
        <w:rPr>
          <w:rFonts w:cs="Times New Roman"/>
          <w:b/>
          <w:bCs/>
          <w:i/>
          <w:iCs/>
          <w:sz w:val="24"/>
          <w:szCs w:val="24"/>
        </w:rPr>
        <w:t>guarantee</w:t>
      </w:r>
      <w:r w:rsidR="0061491D" w:rsidRPr="007C1D3F">
        <w:rPr>
          <w:rFonts w:cs="Times New Roman"/>
          <w:b/>
          <w:bCs/>
          <w:i/>
          <w:iCs/>
          <w:sz w:val="24"/>
          <w:szCs w:val="24"/>
        </w:rPr>
        <w:t>s</w:t>
      </w:r>
      <w:r w:rsidRPr="006064B5">
        <w:rPr>
          <w:rFonts w:cs="Times New Roman"/>
          <w:sz w:val="24"/>
          <w:szCs w:val="24"/>
        </w:rPr>
        <w:t xml:space="preserve"> </w:t>
      </w:r>
      <w:r w:rsidR="00100870" w:rsidRPr="006064B5">
        <w:rPr>
          <w:rFonts w:cs="Times New Roman"/>
          <w:sz w:val="24"/>
          <w:szCs w:val="24"/>
        </w:rPr>
        <w:t xml:space="preserve">the full </w:t>
      </w:r>
      <w:r w:rsidRPr="006064B5">
        <w:rPr>
          <w:rFonts w:cs="Times New Roman"/>
          <w:sz w:val="24"/>
          <w:szCs w:val="24"/>
        </w:rPr>
        <w:t>amount loaned by participating lenders to certain U.S. small businesses, nonprofit organizations, veterans</w:t>
      </w:r>
      <w:r w:rsidR="002D7B4D" w:rsidRPr="006064B5">
        <w:rPr>
          <w:rFonts w:cs="Times New Roman"/>
          <w:sz w:val="24"/>
          <w:szCs w:val="24"/>
        </w:rPr>
        <w:t xml:space="preserve"> </w:t>
      </w:r>
      <w:r w:rsidRPr="006064B5">
        <w:rPr>
          <w:rFonts w:cs="Times New Roman"/>
          <w:sz w:val="24"/>
          <w:szCs w:val="24"/>
        </w:rPr>
        <w:t>organizations</w:t>
      </w:r>
      <w:r w:rsidR="003E673C" w:rsidRPr="006064B5">
        <w:rPr>
          <w:rFonts w:cs="Times New Roman"/>
          <w:sz w:val="24"/>
          <w:szCs w:val="24"/>
        </w:rPr>
        <w:t>,</w:t>
      </w:r>
      <w:r w:rsidRPr="006064B5">
        <w:rPr>
          <w:rFonts w:cs="Times New Roman"/>
          <w:sz w:val="24"/>
          <w:szCs w:val="24"/>
        </w:rPr>
        <w:t xml:space="preserve"> and tribal businesses</w:t>
      </w:r>
      <w:r w:rsidR="0021614A" w:rsidRPr="006064B5">
        <w:rPr>
          <w:rFonts w:cs="Times New Roman"/>
          <w:sz w:val="24"/>
          <w:szCs w:val="24"/>
        </w:rPr>
        <w:t xml:space="preserve"> that employ not more than the greater of </w:t>
      </w:r>
      <w:r w:rsidR="003E673C" w:rsidRPr="006064B5">
        <w:rPr>
          <w:rFonts w:cs="Times New Roman"/>
          <w:sz w:val="24"/>
          <w:szCs w:val="24"/>
        </w:rPr>
        <w:t xml:space="preserve">(1) </w:t>
      </w:r>
      <w:r w:rsidR="0021614A" w:rsidRPr="006064B5">
        <w:rPr>
          <w:rFonts w:cs="Times New Roman"/>
          <w:sz w:val="24"/>
          <w:szCs w:val="24"/>
        </w:rPr>
        <w:t>500 employees</w:t>
      </w:r>
      <w:r w:rsidR="003E673C" w:rsidRPr="006064B5">
        <w:rPr>
          <w:rFonts w:cs="Times New Roman"/>
          <w:sz w:val="24"/>
          <w:szCs w:val="24"/>
        </w:rPr>
        <w:t>,</w:t>
      </w:r>
      <w:r w:rsidR="0021614A" w:rsidRPr="006064B5">
        <w:rPr>
          <w:rFonts w:cs="Times New Roman"/>
          <w:sz w:val="24"/>
          <w:szCs w:val="24"/>
        </w:rPr>
        <w:t xml:space="preserve"> or </w:t>
      </w:r>
      <w:r w:rsidR="003E673C" w:rsidRPr="006064B5">
        <w:rPr>
          <w:rFonts w:cs="Times New Roman"/>
          <w:sz w:val="24"/>
          <w:szCs w:val="24"/>
        </w:rPr>
        <w:t xml:space="preserve">(2) </w:t>
      </w:r>
      <w:r w:rsidR="0021614A" w:rsidRPr="006064B5">
        <w:rPr>
          <w:rFonts w:cs="Times New Roman"/>
          <w:sz w:val="24"/>
          <w:szCs w:val="24"/>
        </w:rPr>
        <w:t xml:space="preserve">the size standards in number of employees </w:t>
      </w:r>
      <w:r w:rsidR="003E673C" w:rsidRPr="006064B5">
        <w:rPr>
          <w:rFonts w:cs="Times New Roman"/>
          <w:sz w:val="24"/>
          <w:szCs w:val="24"/>
        </w:rPr>
        <w:t>that the SBA has established for the industry in which the small business, nonprofit organization, veterans organization, and tribal business operates</w:t>
      </w:r>
      <w:r w:rsidRPr="006064B5">
        <w:rPr>
          <w:rFonts w:cs="Times New Roman"/>
          <w:sz w:val="24"/>
          <w:szCs w:val="24"/>
        </w:rPr>
        <w:t>.</w:t>
      </w:r>
      <w:r w:rsidR="002D7B4D" w:rsidRPr="006064B5">
        <w:rPr>
          <w:rFonts w:cs="Times New Roman"/>
          <w:sz w:val="24"/>
          <w:szCs w:val="24"/>
        </w:rPr>
        <w:t xml:space="preserve"> </w:t>
      </w:r>
      <w:r w:rsidRPr="006064B5">
        <w:rPr>
          <w:rFonts w:cs="Times New Roman"/>
          <w:sz w:val="24"/>
          <w:szCs w:val="24"/>
        </w:rPr>
        <w:t xml:space="preserve"> </w:t>
      </w:r>
      <w:r w:rsidR="00873F5A" w:rsidRPr="006064B5">
        <w:rPr>
          <w:rFonts w:cs="Times New Roman"/>
          <w:sz w:val="24"/>
          <w:szCs w:val="24"/>
        </w:rPr>
        <w:t>Section 1102(a)(1)(B).</w:t>
      </w:r>
      <w:r w:rsidR="009D2607">
        <w:rPr>
          <w:rFonts w:cs="Times New Roman"/>
          <w:sz w:val="24"/>
          <w:szCs w:val="24"/>
        </w:rPr>
        <w:t xml:space="preserve">  </w:t>
      </w:r>
      <w:r w:rsidR="00692F12">
        <w:rPr>
          <w:rFonts w:cs="Times New Roman"/>
          <w:sz w:val="24"/>
          <w:szCs w:val="24"/>
        </w:rPr>
        <w:t>S</w:t>
      </w:r>
      <w:r w:rsidR="00692F12" w:rsidRPr="006064B5">
        <w:rPr>
          <w:rFonts w:cs="Times New Roman"/>
          <w:sz w:val="24"/>
          <w:szCs w:val="24"/>
        </w:rPr>
        <w:t>ole proprietor</w:t>
      </w:r>
      <w:r w:rsidR="00692F12">
        <w:rPr>
          <w:rFonts w:cs="Times New Roman"/>
          <w:sz w:val="24"/>
          <w:szCs w:val="24"/>
        </w:rPr>
        <w:t>s</w:t>
      </w:r>
      <w:r w:rsidR="00692F12" w:rsidRPr="006064B5">
        <w:rPr>
          <w:rFonts w:cs="Times New Roman"/>
          <w:sz w:val="24"/>
          <w:szCs w:val="24"/>
        </w:rPr>
        <w:t>, self-employed individual</w:t>
      </w:r>
      <w:r w:rsidR="00692F12">
        <w:rPr>
          <w:rFonts w:cs="Times New Roman"/>
          <w:sz w:val="24"/>
          <w:szCs w:val="24"/>
        </w:rPr>
        <w:t>s</w:t>
      </w:r>
      <w:r w:rsidR="00692F12" w:rsidRPr="006064B5">
        <w:rPr>
          <w:rFonts w:cs="Times New Roman"/>
          <w:sz w:val="24"/>
          <w:szCs w:val="24"/>
        </w:rPr>
        <w:t>, or independent contractor</w:t>
      </w:r>
      <w:r w:rsidR="00692F12">
        <w:rPr>
          <w:rFonts w:cs="Times New Roman"/>
          <w:sz w:val="24"/>
          <w:szCs w:val="24"/>
        </w:rPr>
        <w:t>s</w:t>
      </w:r>
      <w:r w:rsidR="00692F12" w:rsidRPr="006064B5">
        <w:rPr>
          <w:rFonts w:cs="Times New Roman"/>
          <w:sz w:val="24"/>
          <w:szCs w:val="24"/>
        </w:rPr>
        <w:t xml:space="preserve"> </w:t>
      </w:r>
      <w:r w:rsidR="00692F12">
        <w:rPr>
          <w:rFonts w:cs="Times New Roman"/>
          <w:sz w:val="24"/>
          <w:szCs w:val="24"/>
        </w:rPr>
        <w:t xml:space="preserve">are </w:t>
      </w:r>
      <w:r w:rsidR="00692F12" w:rsidRPr="006064B5">
        <w:rPr>
          <w:rFonts w:cs="Times New Roman"/>
          <w:sz w:val="24"/>
          <w:szCs w:val="24"/>
        </w:rPr>
        <w:t xml:space="preserve">eligible for the newly created PPP.  Section 1102(a)(1)(B).   </w:t>
      </w:r>
      <w:r w:rsidR="009B1ED0" w:rsidRPr="006064B5">
        <w:rPr>
          <w:rFonts w:cs="Times New Roman"/>
          <w:sz w:val="24"/>
          <w:szCs w:val="24"/>
        </w:rPr>
        <w:t>Eligible participants may borrow up to $10 million under the PPP (“covered loans”) from February 15, 2020 through June 30, 2020 (the “covered period”).  Section 1102(a)(1)(B)</w:t>
      </w:r>
      <w:r w:rsidR="009B1ED0">
        <w:rPr>
          <w:rFonts w:cs="Times New Roman"/>
          <w:sz w:val="24"/>
          <w:szCs w:val="24"/>
        </w:rPr>
        <w:t xml:space="preserve">.  </w:t>
      </w:r>
      <w:r w:rsidR="00873F5A" w:rsidRPr="006064B5">
        <w:rPr>
          <w:rFonts w:cs="Times New Roman"/>
          <w:sz w:val="24"/>
          <w:szCs w:val="24"/>
        </w:rPr>
        <w:t xml:space="preserve">In determining “size standards,” the SBA defines a small business based on the norms applicable to the particular industry in which a business operates based on either the average number of employees over the past twelve months, or the average annual receipts over the last three years.  The SBA </w:t>
      </w:r>
      <w:r w:rsidR="00DC392B" w:rsidRPr="006064B5">
        <w:rPr>
          <w:rFonts w:cs="Times New Roman"/>
          <w:sz w:val="24"/>
          <w:szCs w:val="24"/>
        </w:rPr>
        <w:t xml:space="preserve">provides </w:t>
      </w:r>
      <w:r w:rsidR="00873F5A" w:rsidRPr="006064B5">
        <w:rPr>
          <w:rFonts w:cs="Times New Roman"/>
          <w:sz w:val="24"/>
          <w:szCs w:val="24"/>
        </w:rPr>
        <w:t xml:space="preserve">a size standards tool that a business can use to determine if it is “small.”  The tool is available at </w:t>
      </w:r>
      <w:hyperlink r:id="rId8" w:history="1">
        <w:r w:rsidR="00873F5A" w:rsidRPr="003A7CC1">
          <w:rPr>
            <w:rStyle w:val="Hyperlink"/>
            <w:color w:val="4472C4"/>
          </w:rPr>
          <w:t>https://www.sba.gov/size-standards/</w:t>
        </w:r>
      </w:hyperlink>
      <w:r w:rsidR="00873F5A" w:rsidRPr="003A7CC1">
        <w:rPr>
          <w:rFonts w:cs="Times New Roman"/>
          <w:color w:val="4472C4"/>
          <w:sz w:val="24"/>
          <w:szCs w:val="24"/>
        </w:rPr>
        <w:t xml:space="preserve"> </w:t>
      </w:r>
      <w:r w:rsidR="009B1ED0">
        <w:rPr>
          <w:rFonts w:cs="Times New Roman"/>
          <w:color w:val="4472C4"/>
          <w:sz w:val="24"/>
          <w:szCs w:val="24"/>
        </w:rPr>
        <w:t xml:space="preserve"> </w:t>
      </w:r>
    </w:p>
    <w:p w14:paraId="1CB7F8AF" w14:textId="27717242" w:rsidR="00692F12" w:rsidRDefault="00100870" w:rsidP="00692F12">
      <w:pPr>
        <w:pStyle w:val="Text"/>
        <w:ind w:firstLine="720"/>
        <w:rPr>
          <w:rFonts w:cs="Times New Roman"/>
          <w:sz w:val="24"/>
          <w:szCs w:val="24"/>
        </w:rPr>
      </w:pPr>
      <w:r w:rsidRPr="006064B5">
        <w:rPr>
          <w:rFonts w:cs="Times New Roman"/>
          <w:sz w:val="24"/>
          <w:szCs w:val="24"/>
        </w:rPr>
        <w:t>Section 110</w:t>
      </w:r>
      <w:r w:rsidR="0025533B" w:rsidRPr="006064B5">
        <w:rPr>
          <w:rFonts w:cs="Times New Roman"/>
          <w:sz w:val="24"/>
          <w:szCs w:val="24"/>
        </w:rPr>
        <w:t>7</w:t>
      </w:r>
      <w:r w:rsidRPr="006064B5">
        <w:rPr>
          <w:rFonts w:cs="Times New Roman"/>
          <w:sz w:val="24"/>
          <w:szCs w:val="24"/>
        </w:rPr>
        <w:t xml:space="preserve"> of the CARES Act </w:t>
      </w:r>
      <w:r w:rsidR="002D4DAF">
        <w:rPr>
          <w:rFonts w:cs="Times New Roman"/>
          <w:sz w:val="24"/>
          <w:szCs w:val="24"/>
        </w:rPr>
        <w:t xml:space="preserve">initially </w:t>
      </w:r>
      <w:r w:rsidR="0025533B" w:rsidRPr="006064B5">
        <w:rPr>
          <w:rFonts w:cs="Times New Roman"/>
          <w:sz w:val="24"/>
          <w:szCs w:val="24"/>
        </w:rPr>
        <w:t>appropriate</w:t>
      </w:r>
      <w:r w:rsidR="002D4DAF">
        <w:rPr>
          <w:rFonts w:cs="Times New Roman"/>
          <w:sz w:val="24"/>
          <w:szCs w:val="24"/>
        </w:rPr>
        <w:t>d</w:t>
      </w:r>
      <w:r w:rsidR="0025533B" w:rsidRPr="006064B5">
        <w:rPr>
          <w:rFonts w:cs="Times New Roman"/>
          <w:sz w:val="24"/>
          <w:szCs w:val="24"/>
        </w:rPr>
        <w:t xml:space="preserve"> </w:t>
      </w:r>
      <w:r w:rsidR="00577459" w:rsidRPr="006064B5">
        <w:rPr>
          <w:rFonts w:cs="Times New Roman"/>
          <w:sz w:val="24"/>
          <w:szCs w:val="24"/>
        </w:rPr>
        <w:t xml:space="preserve">$349 billion </w:t>
      </w:r>
      <w:r w:rsidR="0025533B" w:rsidRPr="006064B5">
        <w:rPr>
          <w:rFonts w:cs="Times New Roman"/>
          <w:sz w:val="24"/>
          <w:szCs w:val="24"/>
        </w:rPr>
        <w:t xml:space="preserve">for the PPP </w:t>
      </w:r>
      <w:r w:rsidR="00577459" w:rsidRPr="006064B5">
        <w:rPr>
          <w:rFonts w:cs="Times New Roman"/>
          <w:sz w:val="24"/>
          <w:szCs w:val="24"/>
        </w:rPr>
        <w:t xml:space="preserve">for </w:t>
      </w:r>
      <w:r w:rsidR="0025533B" w:rsidRPr="006064B5">
        <w:rPr>
          <w:rFonts w:cs="Times New Roman"/>
          <w:sz w:val="24"/>
          <w:szCs w:val="24"/>
        </w:rPr>
        <w:t>the government’s current fiscal year</w:t>
      </w:r>
      <w:r w:rsidR="00577459" w:rsidRPr="006064B5">
        <w:rPr>
          <w:rFonts w:cs="Times New Roman"/>
          <w:sz w:val="24"/>
          <w:szCs w:val="24"/>
        </w:rPr>
        <w:t>.</w:t>
      </w:r>
      <w:r w:rsidR="00CD5AD3" w:rsidRPr="006064B5">
        <w:rPr>
          <w:rFonts w:cs="Times New Roman"/>
          <w:sz w:val="24"/>
          <w:szCs w:val="24"/>
        </w:rPr>
        <w:t xml:space="preserve"> </w:t>
      </w:r>
      <w:r w:rsidR="00577459" w:rsidRPr="006064B5">
        <w:rPr>
          <w:rFonts w:cs="Times New Roman"/>
          <w:sz w:val="24"/>
          <w:szCs w:val="24"/>
        </w:rPr>
        <w:t xml:space="preserve"> </w:t>
      </w:r>
      <w:r w:rsidR="00692F12">
        <w:rPr>
          <w:rFonts w:cs="Times New Roman"/>
          <w:sz w:val="24"/>
          <w:szCs w:val="24"/>
        </w:rPr>
        <w:t xml:space="preserve">There are about 30 million small businesses, and the $349 billion that Congress allocated initially to PPP covered loans program under the </w:t>
      </w:r>
      <w:r w:rsidR="00692F12">
        <w:rPr>
          <w:rFonts w:cs="Times New Roman"/>
          <w:sz w:val="24"/>
          <w:szCs w:val="24"/>
        </w:rPr>
        <w:lastRenderedPageBreak/>
        <w:t xml:space="preserve">CARES Act was inadequate, resulting in the depletion of the initial allocation to the program by mid-April.  Fortunately, on April 24, 2020, Congress allocated an additional $310 billion to PPP covered loans.  </w:t>
      </w:r>
    </w:p>
    <w:p w14:paraId="786DC791" w14:textId="7FDBAC7D" w:rsidR="00692F12" w:rsidRDefault="00692F12" w:rsidP="002412CC">
      <w:pPr>
        <w:pStyle w:val="Text"/>
        <w:ind w:firstLine="720"/>
        <w:rPr>
          <w:rFonts w:cs="Times New Roman"/>
          <w:sz w:val="24"/>
          <w:szCs w:val="24"/>
        </w:rPr>
      </w:pPr>
      <w:r>
        <w:rPr>
          <w:rFonts w:cs="Times New Roman"/>
          <w:sz w:val="24"/>
          <w:szCs w:val="24"/>
        </w:rPr>
        <w:t xml:space="preserve">The SBA started accepting applications at 9:30 a.m. on April 27, 2020 for PPP loans under the additional funds Congress allocated.  </w:t>
      </w:r>
      <w:r w:rsidR="002E7F37">
        <w:rPr>
          <w:rFonts w:cs="Times New Roman"/>
          <w:sz w:val="24"/>
          <w:szCs w:val="24"/>
        </w:rPr>
        <w:t xml:space="preserve">Although there was an initial rush to take advantage of the additional funds Congress allocated, a substantial amount of PPP covered loans appears to remain available </w:t>
      </w:r>
      <w:r w:rsidR="00AF5416">
        <w:rPr>
          <w:rFonts w:cs="Times New Roman"/>
          <w:sz w:val="24"/>
          <w:szCs w:val="24"/>
        </w:rPr>
        <w:t xml:space="preserve">currently </w:t>
      </w:r>
      <w:r w:rsidR="002E7F37">
        <w:rPr>
          <w:rFonts w:cs="Times New Roman"/>
          <w:sz w:val="24"/>
          <w:szCs w:val="24"/>
        </w:rPr>
        <w:t xml:space="preserve">to eligible small businesses.  As of June 2, 2020, the unused amount of such funds may be as much as $120 billion.  </w:t>
      </w:r>
    </w:p>
    <w:p w14:paraId="2975257B" w14:textId="0E2BB315" w:rsidR="00AF5416" w:rsidRDefault="00AF5416" w:rsidP="00AF5416">
      <w:pPr>
        <w:pStyle w:val="Text"/>
        <w:ind w:firstLine="0"/>
        <w:rPr>
          <w:rFonts w:cs="Times New Roman"/>
          <w:sz w:val="24"/>
          <w:szCs w:val="24"/>
        </w:rPr>
      </w:pPr>
    </w:p>
    <w:p w14:paraId="3D81E679" w14:textId="78B7FAF4" w:rsidR="00AF5416" w:rsidRPr="00AF5416" w:rsidRDefault="00AF5416" w:rsidP="00AF5416">
      <w:pPr>
        <w:pStyle w:val="Text"/>
        <w:ind w:firstLine="0"/>
        <w:rPr>
          <w:rFonts w:cs="Times New Roman"/>
          <w:b/>
          <w:bCs/>
          <w:sz w:val="24"/>
          <w:szCs w:val="24"/>
          <w:u w:val="single"/>
        </w:rPr>
      </w:pPr>
      <w:r w:rsidRPr="00AF5416">
        <w:rPr>
          <w:rFonts w:cs="Times New Roman"/>
          <w:b/>
          <w:bCs/>
          <w:sz w:val="24"/>
          <w:szCs w:val="24"/>
          <w:u w:val="single"/>
        </w:rPr>
        <w:t>Payment Protection Program Covered Loans – A</w:t>
      </w:r>
      <w:r>
        <w:rPr>
          <w:rFonts w:cs="Times New Roman"/>
          <w:b/>
          <w:bCs/>
          <w:sz w:val="24"/>
          <w:szCs w:val="24"/>
          <w:u w:val="single"/>
        </w:rPr>
        <w:t xml:space="preserve"> Technical</w:t>
      </w:r>
      <w:r w:rsidRPr="00AF5416">
        <w:rPr>
          <w:rFonts w:cs="Times New Roman"/>
          <w:b/>
          <w:bCs/>
          <w:sz w:val="24"/>
          <w:szCs w:val="24"/>
          <w:u w:val="single"/>
        </w:rPr>
        <w:t xml:space="preserve"> Overview</w:t>
      </w:r>
    </w:p>
    <w:p w14:paraId="495D40D3" w14:textId="2052E226" w:rsidR="009010D9" w:rsidRPr="003A7CC1" w:rsidRDefault="009010D9" w:rsidP="009010D9">
      <w:pPr>
        <w:pStyle w:val="Text"/>
        <w:ind w:firstLine="720"/>
        <w:rPr>
          <w:rFonts w:cs="Times New Roman"/>
          <w:color w:val="4472C4"/>
          <w:sz w:val="24"/>
          <w:szCs w:val="24"/>
        </w:rPr>
      </w:pPr>
      <w:r w:rsidRPr="006064B5">
        <w:rPr>
          <w:rFonts w:cs="Times New Roman"/>
          <w:sz w:val="24"/>
          <w:szCs w:val="24"/>
        </w:rPr>
        <w:t xml:space="preserve">Covered loans </w:t>
      </w:r>
      <w:r w:rsidR="00AF5416">
        <w:rPr>
          <w:rFonts w:cs="Times New Roman"/>
          <w:sz w:val="24"/>
          <w:szCs w:val="24"/>
        </w:rPr>
        <w:t xml:space="preserve">have been </w:t>
      </w:r>
      <w:r w:rsidRPr="006064B5">
        <w:rPr>
          <w:rFonts w:cs="Times New Roman"/>
          <w:sz w:val="24"/>
          <w:szCs w:val="24"/>
        </w:rPr>
        <w:t>disbursed through the extensive network of banks that participate in SBA’s 7(a) Loan Program.</w:t>
      </w:r>
      <w:r w:rsidR="009D2607">
        <w:rPr>
          <w:rFonts w:cs="Times New Roman"/>
          <w:sz w:val="24"/>
          <w:szCs w:val="24"/>
        </w:rPr>
        <w:t xml:space="preserve"> </w:t>
      </w:r>
      <w:r w:rsidRPr="006064B5">
        <w:rPr>
          <w:rFonts w:cs="Times New Roman"/>
          <w:sz w:val="24"/>
          <w:szCs w:val="24"/>
        </w:rPr>
        <w:t xml:space="preserve"> The CARES Act also empower</w:t>
      </w:r>
      <w:r w:rsidR="00AF5416">
        <w:rPr>
          <w:rFonts w:cs="Times New Roman"/>
          <w:sz w:val="24"/>
          <w:szCs w:val="24"/>
        </w:rPr>
        <w:t>ed</w:t>
      </w:r>
      <w:r w:rsidRPr="006064B5">
        <w:rPr>
          <w:rFonts w:cs="Times New Roman"/>
          <w:sz w:val="24"/>
          <w:szCs w:val="24"/>
        </w:rPr>
        <w:t xml:space="preserve"> SBA to extend authority to additional lenders, which </w:t>
      </w:r>
      <w:r w:rsidR="009F5766">
        <w:rPr>
          <w:rFonts w:cs="Times New Roman"/>
          <w:sz w:val="24"/>
          <w:szCs w:val="24"/>
        </w:rPr>
        <w:t xml:space="preserve">has </w:t>
      </w:r>
      <w:r w:rsidRPr="006064B5">
        <w:rPr>
          <w:rFonts w:cs="Times New Roman"/>
          <w:sz w:val="24"/>
          <w:szCs w:val="24"/>
        </w:rPr>
        <w:t>include</w:t>
      </w:r>
      <w:r w:rsidR="009F5766">
        <w:rPr>
          <w:rFonts w:cs="Times New Roman"/>
          <w:sz w:val="24"/>
          <w:szCs w:val="24"/>
        </w:rPr>
        <w:t>d</w:t>
      </w:r>
      <w:r w:rsidRPr="006064B5">
        <w:rPr>
          <w:rFonts w:cs="Times New Roman"/>
          <w:sz w:val="24"/>
          <w:szCs w:val="24"/>
        </w:rPr>
        <w:t xml:space="preserve"> finance companies and fintech companies</w:t>
      </w:r>
      <w:r w:rsidR="009F5766">
        <w:rPr>
          <w:rFonts w:cs="Times New Roman"/>
          <w:sz w:val="24"/>
          <w:szCs w:val="24"/>
        </w:rPr>
        <w:t xml:space="preserve"> such as BlueVine, Intuit QuickBooks, PayPal, Ready Capital, and Square</w:t>
      </w:r>
      <w:r w:rsidRPr="006064B5">
        <w:rPr>
          <w:rFonts w:cs="Times New Roman"/>
          <w:sz w:val="24"/>
          <w:szCs w:val="24"/>
        </w:rPr>
        <w:t xml:space="preserve">, to make covered loans.  Here is a link to the 100 most active lenders under SBA 7(a):  </w:t>
      </w:r>
      <w:hyperlink r:id="rId9" w:history="1">
        <w:r w:rsidRPr="003A7CC1">
          <w:rPr>
            <w:rStyle w:val="Hyperlink"/>
            <w:rFonts w:cs="Times New Roman"/>
            <w:color w:val="4472C4"/>
            <w:sz w:val="24"/>
            <w:szCs w:val="24"/>
          </w:rPr>
          <w:t>https://www.sba.gov/article/2020/mar/02/100-most-active-sba-7a-lenders</w:t>
        </w:r>
      </w:hyperlink>
    </w:p>
    <w:p w14:paraId="10E8338A" w14:textId="371ED823" w:rsidR="00731DE3" w:rsidRPr="006064B5" w:rsidRDefault="009010D9" w:rsidP="00731DE3">
      <w:pPr>
        <w:pStyle w:val="Text"/>
        <w:ind w:firstLine="720"/>
        <w:rPr>
          <w:rFonts w:cs="Times New Roman"/>
          <w:sz w:val="24"/>
          <w:szCs w:val="24"/>
        </w:rPr>
      </w:pPr>
      <w:r w:rsidRPr="006064B5">
        <w:rPr>
          <w:rFonts w:cs="Times New Roman"/>
          <w:sz w:val="24"/>
          <w:szCs w:val="24"/>
        </w:rPr>
        <w:t>A</w:t>
      </w:r>
      <w:r w:rsidR="00577459" w:rsidRPr="006064B5">
        <w:rPr>
          <w:rFonts w:cs="Times New Roman"/>
          <w:sz w:val="24"/>
          <w:szCs w:val="24"/>
        </w:rPr>
        <w:t xml:space="preserve">lthough the </w:t>
      </w:r>
      <w:r w:rsidR="0025533B" w:rsidRPr="006064B5">
        <w:rPr>
          <w:rFonts w:cs="Times New Roman"/>
          <w:sz w:val="24"/>
          <w:szCs w:val="24"/>
        </w:rPr>
        <w:t xml:space="preserve">SBA </w:t>
      </w:r>
      <w:r w:rsidR="00577459" w:rsidRPr="006064B5">
        <w:rPr>
          <w:rFonts w:cs="Times New Roman"/>
          <w:sz w:val="24"/>
          <w:szCs w:val="24"/>
        </w:rPr>
        <w:t xml:space="preserve">7(a) Loan Program is used </w:t>
      </w:r>
      <w:r w:rsidR="0025533B" w:rsidRPr="006064B5">
        <w:rPr>
          <w:rFonts w:cs="Times New Roman"/>
          <w:sz w:val="24"/>
          <w:szCs w:val="24"/>
        </w:rPr>
        <w:t xml:space="preserve">generally </w:t>
      </w:r>
      <w:r w:rsidR="00577459" w:rsidRPr="006064B5">
        <w:rPr>
          <w:rFonts w:cs="Times New Roman"/>
          <w:sz w:val="24"/>
          <w:szCs w:val="24"/>
        </w:rPr>
        <w:t xml:space="preserve">to </w:t>
      </w:r>
      <w:r w:rsidR="0025533B" w:rsidRPr="006064B5">
        <w:rPr>
          <w:rFonts w:cs="Times New Roman"/>
          <w:sz w:val="24"/>
          <w:szCs w:val="24"/>
        </w:rPr>
        <w:t xml:space="preserve">help </w:t>
      </w:r>
      <w:r w:rsidR="00577459" w:rsidRPr="006064B5">
        <w:rPr>
          <w:rFonts w:cs="Times New Roman"/>
          <w:sz w:val="24"/>
          <w:szCs w:val="24"/>
        </w:rPr>
        <w:t xml:space="preserve">small businesses </w:t>
      </w:r>
      <w:r w:rsidR="0025533B" w:rsidRPr="006064B5">
        <w:rPr>
          <w:rFonts w:cs="Times New Roman"/>
          <w:sz w:val="24"/>
          <w:szCs w:val="24"/>
        </w:rPr>
        <w:t xml:space="preserve">buy </w:t>
      </w:r>
      <w:r w:rsidR="00577459" w:rsidRPr="006064B5">
        <w:rPr>
          <w:rFonts w:cs="Times New Roman"/>
          <w:sz w:val="24"/>
          <w:szCs w:val="24"/>
        </w:rPr>
        <w:t xml:space="preserve">property and fixed assets or </w:t>
      </w:r>
      <w:r w:rsidR="007C1D3F">
        <w:rPr>
          <w:rFonts w:cs="Times New Roman"/>
          <w:sz w:val="24"/>
          <w:szCs w:val="24"/>
        </w:rPr>
        <w:t xml:space="preserve">to </w:t>
      </w:r>
      <w:r w:rsidR="00577459" w:rsidRPr="006064B5">
        <w:rPr>
          <w:rFonts w:cs="Times New Roman"/>
          <w:sz w:val="24"/>
          <w:szCs w:val="24"/>
        </w:rPr>
        <w:t xml:space="preserve">complete capital projects, </w:t>
      </w:r>
      <w:r w:rsidR="002D7B4D" w:rsidRPr="006064B5">
        <w:rPr>
          <w:rFonts w:cs="Times New Roman"/>
          <w:sz w:val="24"/>
          <w:szCs w:val="24"/>
        </w:rPr>
        <w:t xml:space="preserve">under </w:t>
      </w:r>
      <w:r w:rsidR="007E11BD" w:rsidRPr="006064B5">
        <w:rPr>
          <w:rFonts w:cs="Times New Roman"/>
          <w:sz w:val="24"/>
          <w:szCs w:val="24"/>
        </w:rPr>
        <w:t xml:space="preserve">Section 1102(a)(2) of </w:t>
      </w:r>
      <w:r w:rsidR="002D7B4D" w:rsidRPr="006064B5">
        <w:rPr>
          <w:rFonts w:cs="Times New Roman"/>
          <w:sz w:val="24"/>
          <w:szCs w:val="24"/>
        </w:rPr>
        <w:t xml:space="preserve">the CARES Act, </w:t>
      </w:r>
      <w:r w:rsidR="00577459" w:rsidRPr="006064B5">
        <w:rPr>
          <w:rFonts w:cs="Times New Roman"/>
          <w:sz w:val="24"/>
          <w:szCs w:val="24"/>
        </w:rPr>
        <w:t xml:space="preserve">the proceeds from a covered loan can be used for (1) payroll support, including paid sick, medical or family leave, and costs related to the continuation of group health care benefits during those periods of leave; (2) employee salaries; (3) mortgage, lease and utility payments; and (4) any other debt obligations. </w:t>
      </w:r>
      <w:r w:rsidR="007E11BD" w:rsidRPr="006064B5">
        <w:rPr>
          <w:rFonts w:cs="Times New Roman"/>
          <w:sz w:val="24"/>
          <w:szCs w:val="24"/>
        </w:rPr>
        <w:t xml:space="preserve"> </w:t>
      </w:r>
      <w:r w:rsidR="00577459" w:rsidRPr="006064B5">
        <w:rPr>
          <w:rFonts w:cs="Times New Roman"/>
          <w:sz w:val="24"/>
          <w:szCs w:val="24"/>
        </w:rPr>
        <w:t xml:space="preserve">The legislation includes other attractive features, such as (1) increases in the size standard for eligible business concerns, (2) payment deferrals, and (3) </w:t>
      </w:r>
      <w:r w:rsidR="007E11BD" w:rsidRPr="006064B5">
        <w:rPr>
          <w:rFonts w:cs="Times New Roman"/>
          <w:sz w:val="24"/>
          <w:szCs w:val="24"/>
        </w:rPr>
        <w:t>loan</w:t>
      </w:r>
      <w:r w:rsidR="00577459" w:rsidRPr="006064B5">
        <w:rPr>
          <w:rFonts w:cs="Times New Roman"/>
          <w:sz w:val="24"/>
          <w:szCs w:val="24"/>
        </w:rPr>
        <w:t xml:space="preserve"> forgiveness that would enable</w:t>
      </w:r>
      <w:r w:rsidR="00AA6717" w:rsidRPr="006064B5">
        <w:rPr>
          <w:rFonts w:cs="Times New Roman"/>
          <w:sz w:val="24"/>
          <w:szCs w:val="24"/>
        </w:rPr>
        <w:t xml:space="preserve"> </w:t>
      </w:r>
      <w:r w:rsidR="00577459" w:rsidRPr="006064B5">
        <w:rPr>
          <w:rFonts w:cs="Times New Roman"/>
          <w:sz w:val="24"/>
          <w:szCs w:val="24"/>
        </w:rPr>
        <w:t xml:space="preserve"> portions of the loan to be forgiven without resulting in cancellation of indebtedness income</w:t>
      </w:r>
      <w:r w:rsidR="002D7B4D" w:rsidRPr="006064B5">
        <w:rPr>
          <w:rFonts w:cs="Times New Roman"/>
          <w:sz w:val="24"/>
          <w:szCs w:val="24"/>
        </w:rPr>
        <w:t xml:space="preserve"> for tax purposes</w:t>
      </w:r>
      <w:r w:rsidR="00577459" w:rsidRPr="006064B5">
        <w:rPr>
          <w:rFonts w:cs="Times New Roman"/>
          <w:sz w:val="24"/>
          <w:szCs w:val="24"/>
        </w:rPr>
        <w:t xml:space="preserve">. </w:t>
      </w:r>
      <w:r w:rsidR="002D7B4D" w:rsidRPr="006064B5">
        <w:rPr>
          <w:rFonts w:cs="Times New Roman"/>
          <w:sz w:val="24"/>
          <w:szCs w:val="24"/>
        </w:rPr>
        <w:t xml:space="preserve"> </w:t>
      </w:r>
    </w:p>
    <w:p w14:paraId="59F97ED2" w14:textId="18F18A8A" w:rsidR="00B54682" w:rsidRPr="006064B5" w:rsidRDefault="00731DE3" w:rsidP="00731DE3">
      <w:pPr>
        <w:pStyle w:val="Text"/>
        <w:ind w:firstLine="720"/>
        <w:rPr>
          <w:rFonts w:cs="Times New Roman"/>
          <w:sz w:val="24"/>
          <w:szCs w:val="24"/>
        </w:rPr>
      </w:pPr>
      <w:r w:rsidRPr="006064B5">
        <w:rPr>
          <w:rFonts w:cs="Times New Roman"/>
          <w:sz w:val="24"/>
          <w:szCs w:val="24"/>
        </w:rPr>
        <w:t xml:space="preserve">The PPP also permits the recipient of an economic injury disaster loan (“EIDL”) made after January 31, 2020 that is for a purpose other than paying payroll costs and other </w:t>
      </w:r>
      <w:r w:rsidR="0028738D" w:rsidRPr="006064B5">
        <w:rPr>
          <w:rFonts w:cs="Times New Roman"/>
          <w:sz w:val="24"/>
          <w:szCs w:val="24"/>
        </w:rPr>
        <w:t xml:space="preserve">similar </w:t>
      </w:r>
      <w:r w:rsidRPr="006064B5">
        <w:rPr>
          <w:rFonts w:cs="Times New Roman"/>
          <w:sz w:val="24"/>
          <w:szCs w:val="24"/>
        </w:rPr>
        <w:t xml:space="preserve">obligations described </w:t>
      </w:r>
      <w:r w:rsidR="006064B5" w:rsidRPr="006064B5">
        <w:rPr>
          <w:rFonts w:cs="Times New Roman"/>
          <w:sz w:val="24"/>
          <w:szCs w:val="24"/>
        </w:rPr>
        <w:t xml:space="preserve">below as among the permitted uses </w:t>
      </w:r>
      <w:r w:rsidRPr="006064B5">
        <w:rPr>
          <w:rFonts w:cs="Times New Roman"/>
          <w:sz w:val="24"/>
          <w:szCs w:val="24"/>
        </w:rPr>
        <w:t xml:space="preserve">of </w:t>
      </w:r>
      <w:r w:rsidR="006064B5" w:rsidRPr="006064B5">
        <w:rPr>
          <w:rFonts w:cs="Times New Roman"/>
          <w:sz w:val="24"/>
          <w:szCs w:val="24"/>
        </w:rPr>
        <w:t>proceeds from c</w:t>
      </w:r>
      <w:r w:rsidRPr="006064B5">
        <w:rPr>
          <w:rFonts w:cs="Times New Roman"/>
          <w:sz w:val="24"/>
          <w:szCs w:val="24"/>
        </w:rPr>
        <w:t xml:space="preserve">overed </w:t>
      </w:r>
      <w:r w:rsidR="006064B5" w:rsidRPr="006064B5">
        <w:rPr>
          <w:rFonts w:cs="Times New Roman"/>
          <w:sz w:val="24"/>
          <w:szCs w:val="24"/>
        </w:rPr>
        <w:t>l</w:t>
      </w:r>
      <w:r w:rsidRPr="006064B5">
        <w:rPr>
          <w:rFonts w:cs="Times New Roman"/>
          <w:sz w:val="24"/>
          <w:szCs w:val="24"/>
        </w:rPr>
        <w:t>oans (eligible EIDL) to refinance that loan into a covered loan under the PPP.  All of these features are designed to encourage businesses to retain their employees in the near term given the sudden cessation of nearly all commercial economic activity, which, according to recent reports, has resulted in approximately 6.6</w:t>
      </w:r>
      <w:r w:rsidR="006068B0">
        <w:rPr>
          <w:rFonts w:cs="Times New Roman"/>
          <w:sz w:val="24"/>
          <w:szCs w:val="24"/>
        </w:rPr>
        <w:t>48</w:t>
      </w:r>
      <w:r w:rsidRPr="006064B5">
        <w:rPr>
          <w:rFonts w:cs="Times New Roman"/>
          <w:sz w:val="24"/>
          <w:szCs w:val="24"/>
        </w:rPr>
        <w:t xml:space="preserve"> million jobs</w:t>
      </w:r>
      <w:r w:rsidR="00D649DE">
        <w:rPr>
          <w:rFonts w:cs="Times New Roman"/>
          <w:sz w:val="24"/>
          <w:szCs w:val="24"/>
        </w:rPr>
        <w:t xml:space="preserve"> lost </w:t>
      </w:r>
      <w:r w:rsidR="00D649DE" w:rsidRPr="006064B5">
        <w:rPr>
          <w:rFonts w:cs="Times New Roman"/>
          <w:sz w:val="24"/>
          <w:szCs w:val="24"/>
        </w:rPr>
        <w:t>in the United States</w:t>
      </w:r>
      <w:r w:rsidRPr="006064B5">
        <w:rPr>
          <w:rFonts w:cs="Times New Roman"/>
          <w:sz w:val="24"/>
          <w:szCs w:val="24"/>
        </w:rPr>
        <w:t xml:space="preserve"> </w:t>
      </w:r>
      <w:r w:rsidR="00D649DE">
        <w:rPr>
          <w:rFonts w:cs="Times New Roman"/>
          <w:sz w:val="24"/>
          <w:szCs w:val="24"/>
        </w:rPr>
        <w:t>last week and nearly 10 million in the last two</w:t>
      </w:r>
      <w:r w:rsidRPr="006064B5">
        <w:rPr>
          <w:rFonts w:cs="Times New Roman"/>
          <w:sz w:val="24"/>
          <w:szCs w:val="24"/>
        </w:rPr>
        <w:t xml:space="preserve"> weeks.  </w:t>
      </w:r>
    </w:p>
    <w:p w14:paraId="2978A0BD" w14:textId="0B02F79E" w:rsidR="00B54682" w:rsidRPr="006064B5" w:rsidRDefault="00B54682" w:rsidP="00B54682">
      <w:pPr>
        <w:pStyle w:val="Text"/>
        <w:ind w:firstLine="720"/>
        <w:rPr>
          <w:rFonts w:cs="Times New Roman"/>
          <w:sz w:val="24"/>
          <w:szCs w:val="24"/>
        </w:rPr>
      </w:pPr>
      <w:r w:rsidRPr="006064B5">
        <w:rPr>
          <w:rFonts w:cs="Times New Roman"/>
          <w:sz w:val="24"/>
          <w:szCs w:val="24"/>
        </w:rPr>
        <w:t xml:space="preserve">In most cases, the maximum amount a small business may borrow under a covered loan is 2.5 times the average monthly payroll costs the business has incurred for the one-year period before the loan is made, </w:t>
      </w:r>
      <w:r w:rsidRPr="006064B5">
        <w:rPr>
          <w:rFonts w:cs="Times New Roman"/>
          <w:b/>
          <w:bCs/>
          <w:i/>
          <w:iCs/>
          <w:sz w:val="24"/>
          <w:szCs w:val="24"/>
        </w:rPr>
        <w:t>plus</w:t>
      </w:r>
      <w:r w:rsidRPr="006064B5">
        <w:rPr>
          <w:rFonts w:cs="Times New Roman"/>
          <w:sz w:val="24"/>
          <w:szCs w:val="24"/>
        </w:rPr>
        <w:t xml:space="preserve"> the amount of any eligible EIDL to be refinanced into the covered loan.  For a “seasonal employer,” the covered loan amount is </w:t>
      </w:r>
      <w:r w:rsidR="00B8531D" w:rsidRPr="006064B5">
        <w:rPr>
          <w:rFonts w:cs="Times New Roman"/>
          <w:sz w:val="24"/>
          <w:szCs w:val="24"/>
        </w:rPr>
        <w:t xml:space="preserve">set at </w:t>
      </w:r>
      <w:r w:rsidRPr="006064B5">
        <w:rPr>
          <w:rFonts w:cs="Times New Roman"/>
          <w:sz w:val="24"/>
          <w:szCs w:val="24"/>
        </w:rPr>
        <w:t xml:space="preserve">2.5 times the total payroll costs </w:t>
      </w:r>
      <w:r w:rsidR="00B8531D" w:rsidRPr="006064B5">
        <w:rPr>
          <w:rFonts w:cs="Times New Roman"/>
          <w:sz w:val="24"/>
          <w:szCs w:val="24"/>
        </w:rPr>
        <w:t xml:space="preserve">of the business </w:t>
      </w:r>
      <w:r w:rsidRPr="006064B5">
        <w:rPr>
          <w:rFonts w:cs="Times New Roman"/>
          <w:sz w:val="24"/>
          <w:szCs w:val="24"/>
        </w:rPr>
        <w:t xml:space="preserve">for a twelve-week period beginning on February 15, 2019 or March 1, 2019, </w:t>
      </w:r>
      <w:r w:rsidRPr="006064B5">
        <w:rPr>
          <w:rFonts w:cs="Times New Roman"/>
          <w:b/>
          <w:bCs/>
          <w:i/>
          <w:iCs/>
          <w:sz w:val="24"/>
          <w:szCs w:val="24"/>
        </w:rPr>
        <w:t>plus</w:t>
      </w:r>
      <w:r w:rsidRPr="006064B5">
        <w:rPr>
          <w:rFonts w:cs="Times New Roman"/>
          <w:sz w:val="24"/>
          <w:szCs w:val="24"/>
        </w:rPr>
        <w:t xml:space="preserve"> the amount of any eligible EIDL to be refinanced into the covered loan.  If the small business was not in business between February 20, 2019 and June 20, 2019, the payroll costs will be those incurred for </w:t>
      </w:r>
      <w:r w:rsidR="00B8531D" w:rsidRPr="006064B5">
        <w:rPr>
          <w:rFonts w:cs="Times New Roman"/>
          <w:sz w:val="24"/>
          <w:szCs w:val="24"/>
        </w:rPr>
        <w:t xml:space="preserve">January and February </w:t>
      </w:r>
      <w:r w:rsidRPr="006064B5">
        <w:rPr>
          <w:rFonts w:cs="Times New Roman"/>
          <w:sz w:val="24"/>
          <w:szCs w:val="24"/>
        </w:rPr>
        <w:t>2020.</w:t>
      </w:r>
    </w:p>
    <w:p w14:paraId="3D68524F" w14:textId="22F51B0A" w:rsidR="00B54682" w:rsidRPr="006064B5" w:rsidRDefault="00B54682" w:rsidP="007C1D3F">
      <w:pPr>
        <w:pStyle w:val="Text"/>
        <w:ind w:firstLine="720"/>
        <w:rPr>
          <w:rFonts w:cs="Times New Roman"/>
          <w:sz w:val="24"/>
          <w:szCs w:val="24"/>
        </w:rPr>
      </w:pPr>
      <w:r w:rsidRPr="006064B5">
        <w:rPr>
          <w:rFonts w:cs="Times New Roman"/>
          <w:sz w:val="24"/>
          <w:szCs w:val="24"/>
        </w:rPr>
        <w:lastRenderedPageBreak/>
        <w:t>The CARES Act defines “payroll costs” for covered loans</w:t>
      </w:r>
      <w:r w:rsidR="00B8531D" w:rsidRPr="006064B5">
        <w:rPr>
          <w:rFonts w:cs="Times New Roman"/>
          <w:sz w:val="24"/>
          <w:szCs w:val="24"/>
        </w:rPr>
        <w:t xml:space="preserve"> broadly</w:t>
      </w:r>
      <w:r w:rsidRPr="006064B5">
        <w:rPr>
          <w:rFonts w:cs="Times New Roman"/>
          <w:sz w:val="24"/>
          <w:szCs w:val="24"/>
        </w:rPr>
        <w:t xml:space="preserve"> </w:t>
      </w:r>
      <w:r w:rsidR="00B8531D" w:rsidRPr="006064B5">
        <w:rPr>
          <w:rFonts w:cs="Times New Roman"/>
          <w:sz w:val="24"/>
          <w:szCs w:val="24"/>
        </w:rPr>
        <w:t xml:space="preserve">to include employee compensation that is </w:t>
      </w:r>
      <w:r w:rsidRPr="006064B5">
        <w:rPr>
          <w:rFonts w:cs="Times New Roman"/>
          <w:sz w:val="24"/>
          <w:szCs w:val="24"/>
        </w:rPr>
        <w:t>salary, wage, commission or similar compensation</w:t>
      </w:r>
      <w:r w:rsidR="00B8531D" w:rsidRPr="006064B5">
        <w:rPr>
          <w:rFonts w:cs="Times New Roman"/>
          <w:sz w:val="24"/>
          <w:szCs w:val="24"/>
        </w:rPr>
        <w:t xml:space="preserve">, </w:t>
      </w:r>
      <w:r w:rsidRPr="006064B5">
        <w:rPr>
          <w:rFonts w:cs="Times New Roman"/>
          <w:sz w:val="24"/>
          <w:szCs w:val="24"/>
        </w:rPr>
        <w:t>payment of cash tip or equivalent</w:t>
      </w:r>
      <w:r w:rsidR="00B8531D" w:rsidRPr="006064B5">
        <w:rPr>
          <w:rFonts w:cs="Times New Roman"/>
          <w:sz w:val="24"/>
          <w:szCs w:val="24"/>
        </w:rPr>
        <w:t xml:space="preserve">, </w:t>
      </w:r>
      <w:r w:rsidRPr="006064B5">
        <w:rPr>
          <w:rFonts w:cs="Times New Roman"/>
          <w:sz w:val="24"/>
          <w:szCs w:val="24"/>
        </w:rPr>
        <w:t>vacation, parental, family, medical or sick leave</w:t>
      </w:r>
      <w:r w:rsidR="00B8531D" w:rsidRPr="006064B5">
        <w:rPr>
          <w:rFonts w:cs="Times New Roman"/>
          <w:sz w:val="24"/>
          <w:szCs w:val="24"/>
        </w:rPr>
        <w:t xml:space="preserve">, </w:t>
      </w:r>
      <w:r w:rsidRPr="006064B5">
        <w:rPr>
          <w:rFonts w:cs="Times New Roman"/>
          <w:sz w:val="24"/>
          <w:szCs w:val="24"/>
        </w:rPr>
        <w:t>allowance for dismissal or separation</w:t>
      </w:r>
      <w:r w:rsidR="00B8531D" w:rsidRPr="006064B5">
        <w:rPr>
          <w:rFonts w:cs="Times New Roman"/>
          <w:sz w:val="24"/>
          <w:szCs w:val="24"/>
        </w:rPr>
        <w:t xml:space="preserve">, </w:t>
      </w:r>
      <w:r w:rsidRPr="006064B5">
        <w:rPr>
          <w:rFonts w:cs="Times New Roman"/>
          <w:sz w:val="24"/>
          <w:szCs w:val="24"/>
        </w:rPr>
        <w:t>payment required for the provisions of group health care benefits, including insurance premiums</w:t>
      </w:r>
      <w:r w:rsidR="00B8531D" w:rsidRPr="006064B5">
        <w:rPr>
          <w:rFonts w:cs="Times New Roman"/>
          <w:sz w:val="24"/>
          <w:szCs w:val="24"/>
        </w:rPr>
        <w:t xml:space="preserve">, the </w:t>
      </w:r>
      <w:r w:rsidRPr="006064B5">
        <w:rPr>
          <w:rFonts w:cs="Times New Roman"/>
          <w:sz w:val="24"/>
          <w:szCs w:val="24"/>
        </w:rPr>
        <w:t>payment of any retirement benefit</w:t>
      </w:r>
      <w:r w:rsidR="00B8531D" w:rsidRPr="006064B5">
        <w:rPr>
          <w:rFonts w:cs="Times New Roman"/>
          <w:sz w:val="24"/>
          <w:szCs w:val="24"/>
        </w:rPr>
        <w:t>,</w:t>
      </w:r>
      <w:r w:rsidRPr="006064B5">
        <w:rPr>
          <w:rFonts w:cs="Times New Roman"/>
          <w:sz w:val="24"/>
          <w:szCs w:val="24"/>
        </w:rPr>
        <w:t xml:space="preserve"> or</w:t>
      </w:r>
      <w:r w:rsidR="00B8531D" w:rsidRPr="006064B5">
        <w:rPr>
          <w:rFonts w:cs="Times New Roman"/>
          <w:sz w:val="24"/>
          <w:szCs w:val="24"/>
        </w:rPr>
        <w:t xml:space="preserve"> the </w:t>
      </w:r>
      <w:r w:rsidRPr="006064B5">
        <w:rPr>
          <w:rFonts w:cs="Times New Roman"/>
          <w:sz w:val="24"/>
          <w:szCs w:val="24"/>
        </w:rPr>
        <w:t>payment of state or local tax assessed on the compensation of employees.</w:t>
      </w:r>
      <w:r w:rsidR="00B8531D" w:rsidRPr="006064B5">
        <w:rPr>
          <w:rFonts w:cs="Times New Roman"/>
          <w:sz w:val="24"/>
          <w:szCs w:val="24"/>
        </w:rPr>
        <w:t xml:space="preserve">  </w:t>
      </w:r>
      <w:r w:rsidR="00A91AE2" w:rsidRPr="006064B5">
        <w:rPr>
          <w:rFonts w:cs="Times New Roman"/>
          <w:sz w:val="24"/>
          <w:szCs w:val="24"/>
        </w:rPr>
        <w:t>As to self-employed persons, sole proprietorships, and one-member limited liability companies, payroll cost</w:t>
      </w:r>
      <w:r w:rsidR="009F5766">
        <w:rPr>
          <w:rFonts w:cs="Times New Roman"/>
          <w:sz w:val="24"/>
          <w:szCs w:val="24"/>
        </w:rPr>
        <w:t>s</w:t>
      </w:r>
      <w:r w:rsidR="00A91AE2" w:rsidRPr="006064B5">
        <w:rPr>
          <w:rFonts w:cs="Times New Roman"/>
          <w:sz w:val="24"/>
          <w:szCs w:val="24"/>
        </w:rPr>
        <w:t xml:space="preserve"> include </w:t>
      </w:r>
      <w:r w:rsidRPr="006064B5">
        <w:rPr>
          <w:rFonts w:cs="Times New Roman"/>
          <w:sz w:val="24"/>
          <w:szCs w:val="24"/>
        </w:rPr>
        <w:t>the</w:t>
      </w:r>
      <w:r w:rsidR="007C1D3F">
        <w:rPr>
          <w:rFonts w:cs="Times New Roman"/>
          <w:sz w:val="24"/>
          <w:szCs w:val="24"/>
        </w:rPr>
        <w:t xml:space="preserve"> </w:t>
      </w:r>
      <w:r w:rsidRPr="006064B5">
        <w:rPr>
          <w:rFonts w:cs="Times New Roman"/>
          <w:sz w:val="24"/>
          <w:szCs w:val="24"/>
        </w:rPr>
        <w:t xml:space="preserve"> sum of payments of any compensation to or income of a sole proprietor or independent contractor that is a wage, commission, income, net earnings from self-employment or similar compensation and that is in an amount not more than $100,000 in one year, as prorated for the covered period.</w:t>
      </w:r>
      <w:r w:rsidR="00716AA0">
        <w:rPr>
          <w:rFonts w:cs="Times New Roman"/>
          <w:sz w:val="24"/>
          <w:szCs w:val="24"/>
        </w:rPr>
        <w:t xml:space="preserve">  </w:t>
      </w:r>
    </w:p>
    <w:p w14:paraId="66312FA4" w14:textId="42EF55F6" w:rsidR="00B54682" w:rsidRPr="006064B5" w:rsidRDefault="00A91AE2" w:rsidP="00A47382">
      <w:pPr>
        <w:pStyle w:val="Text"/>
        <w:ind w:firstLine="720"/>
        <w:rPr>
          <w:rFonts w:cs="Times New Roman"/>
          <w:sz w:val="24"/>
          <w:szCs w:val="24"/>
        </w:rPr>
      </w:pPr>
      <w:r w:rsidRPr="006064B5">
        <w:rPr>
          <w:rFonts w:cs="Times New Roman"/>
          <w:sz w:val="24"/>
          <w:szCs w:val="24"/>
        </w:rPr>
        <w:t xml:space="preserve">Payroll costs do </w:t>
      </w:r>
      <w:r w:rsidRPr="006064B5">
        <w:rPr>
          <w:rFonts w:cs="Times New Roman"/>
          <w:b/>
          <w:bCs/>
          <w:i/>
          <w:iCs/>
          <w:sz w:val="24"/>
          <w:szCs w:val="24"/>
        </w:rPr>
        <w:t>not</w:t>
      </w:r>
      <w:r w:rsidRPr="006064B5">
        <w:rPr>
          <w:rFonts w:cs="Times New Roman"/>
          <w:sz w:val="24"/>
          <w:szCs w:val="24"/>
        </w:rPr>
        <w:t xml:space="preserve"> include </w:t>
      </w:r>
      <w:r w:rsidR="00B54682" w:rsidRPr="006064B5">
        <w:rPr>
          <w:rFonts w:cs="Times New Roman"/>
          <w:sz w:val="24"/>
          <w:szCs w:val="24"/>
        </w:rPr>
        <w:t>the </w:t>
      </w:r>
      <w:r w:rsidR="00B54682" w:rsidRPr="006064B5">
        <w:rPr>
          <w:rFonts w:cs="Times New Roman"/>
          <w:b/>
          <w:bCs/>
          <w:sz w:val="24"/>
          <w:szCs w:val="24"/>
        </w:rPr>
        <w:t>compensation</w:t>
      </w:r>
      <w:r w:rsidR="00B54682" w:rsidRPr="006064B5">
        <w:rPr>
          <w:rFonts w:cs="Times New Roman"/>
          <w:sz w:val="24"/>
          <w:szCs w:val="24"/>
        </w:rPr>
        <w:t> of an individual employee in excess of an annual salary of $100,000, as prorated for the covered period</w:t>
      </w:r>
      <w:r w:rsidRPr="006064B5">
        <w:rPr>
          <w:rFonts w:cs="Times New Roman"/>
          <w:sz w:val="24"/>
          <w:szCs w:val="24"/>
        </w:rPr>
        <w:t xml:space="preserve">, FICA </w:t>
      </w:r>
      <w:r w:rsidR="00B54682" w:rsidRPr="006064B5">
        <w:rPr>
          <w:rFonts w:cs="Times New Roman"/>
          <w:sz w:val="24"/>
          <w:szCs w:val="24"/>
        </w:rPr>
        <w:t>taxes imposed or withheld (</w:t>
      </w:r>
      <w:r w:rsidRPr="006064B5">
        <w:rPr>
          <w:rFonts w:cs="Times New Roman"/>
          <w:sz w:val="24"/>
          <w:szCs w:val="24"/>
        </w:rPr>
        <w:t xml:space="preserve">the employer and employee portion of </w:t>
      </w:r>
      <w:r w:rsidR="00B54682" w:rsidRPr="006064B5">
        <w:rPr>
          <w:rFonts w:cs="Times New Roman"/>
          <w:sz w:val="24"/>
          <w:szCs w:val="24"/>
        </w:rPr>
        <w:t>Social Security and Medicare taxes), railroad retirement tax</w:t>
      </w:r>
      <w:r w:rsidRPr="006064B5">
        <w:rPr>
          <w:rFonts w:cs="Times New Roman"/>
          <w:sz w:val="24"/>
          <w:szCs w:val="24"/>
        </w:rPr>
        <w:t>,</w:t>
      </w:r>
      <w:r w:rsidR="00B54682" w:rsidRPr="006064B5">
        <w:rPr>
          <w:rFonts w:cs="Times New Roman"/>
          <w:sz w:val="24"/>
          <w:szCs w:val="24"/>
        </w:rPr>
        <w:t xml:space="preserve"> or </w:t>
      </w:r>
      <w:r w:rsidRPr="006064B5">
        <w:rPr>
          <w:rFonts w:cs="Times New Roman"/>
          <w:sz w:val="24"/>
          <w:szCs w:val="24"/>
        </w:rPr>
        <w:t xml:space="preserve">the </w:t>
      </w:r>
      <w:r w:rsidR="00B54682" w:rsidRPr="006064B5">
        <w:rPr>
          <w:rFonts w:cs="Times New Roman"/>
          <w:sz w:val="24"/>
          <w:szCs w:val="24"/>
        </w:rPr>
        <w:t>withholding obligations from employees</w:t>
      </w:r>
      <w:r w:rsidRPr="006064B5">
        <w:rPr>
          <w:rFonts w:cs="Times New Roman"/>
          <w:sz w:val="24"/>
          <w:szCs w:val="24"/>
        </w:rPr>
        <w:t xml:space="preserve">.  Payroll costs </w:t>
      </w:r>
      <w:r w:rsidR="00A47382" w:rsidRPr="006064B5">
        <w:rPr>
          <w:rFonts w:cs="Times New Roman"/>
          <w:sz w:val="24"/>
          <w:szCs w:val="24"/>
        </w:rPr>
        <w:t xml:space="preserve">do not include </w:t>
      </w:r>
      <w:r w:rsidR="00B54682" w:rsidRPr="006064B5">
        <w:rPr>
          <w:rFonts w:cs="Times New Roman"/>
          <w:sz w:val="24"/>
          <w:szCs w:val="24"/>
        </w:rPr>
        <w:t xml:space="preserve">compensation </w:t>
      </w:r>
      <w:r w:rsidR="00A47382" w:rsidRPr="006064B5">
        <w:rPr>
          <w:rFonts w:cs="Times New Roman"/>
          <w:sz w:val="24"/>
          <w:szCs w:val="24"/>
        </w:rPr>
        <w:t xml:space="preserve">paid to </w:t>
      </w:r>
      <w:r w:rsidR="00B54682" w:rsidRPr="006064B5">
        <w:rPr>
          <w:rFonts w:cs="Times New Roman"/>
          <w:sz w:val="24"/>
          <w:szCs w:val="24"/>
        </w:rPr>
        <w:t>an employee whose principal place of residence is outside of the United States</w:t>
      </w:r>
      <w:r w:rsidR="00A47382" w:rsidRPr="006064B5">
        <w:rPr>
          <w:rFonts w:cs="Times New Roman"/>
          <w:sz w:val="24"/>
          <w:szCs w:val="24"/>
        </w:rPr>
        <w:t xml:space="preserve">.  </w:t>
      </w:r>
    </w:p>
    <w:p w14:paraId="00204030" w14:textId="2E606F71" w:rsidR="00B54682" w:rsidRPr="006064B5" w:rsidRDefault="00A47382" w:rsidP="00A47382">
      <w:pPr>
        <w:pStyle w:val="Text"/>
        <w:ind w:firstLine="720"/>
        <w:rPr>
          <w:rFonts w:cs="Times New Roman"/>
          <w:sz w:val="24"/>
          <w:szCs w:val="24"/>
        </w:rPr>
      </w:pPr>
      <w:r w:rsidRPr="006064B5">
        <w:rPr>
          <w:rFonts w:cs="Times New Roman"/>
          <w:sz w:val="24"/>
          <w:szCs w:val="24"/>
        </w:rPr>
        <w:t xml:space="preserve">The proceeds from covered loans may be used only for employee salaries, commissions or similar compensation, payroll costs, the payment of </w:t>
      </w:r>
      <w:r w:rsidR="00B54682" w:rsidRPr="006064B5">
        <w:rPr>
          <w:rFonts w:cs="Times New Roman"/>
          <w:sz w:val="24"/>
          <w:szCs w:val="24"/>
        </w:rPr>
        <w:t>group health care benefits during periods of paid sick, medical or family leave, and insurance premiums</w:t>
      </w:r>
      <w:r w:rsidRPr="006064B5">
        <w:rPr>
          <w:rFonts w:cs="Times New Roman"/>
          <w:sz w:val="24"/>
          <w:szCs w:val="24"/>
        </w:rPr>
        <w:t xml:space="preserve">, the </w:t>
      </w:r>
      <w:r w:rsidR="00B54682" w:rsidRPr="006064B5">
        <w:rPr>
          <w:rFonts w:cs="Times New Roman"/>
          <w:sz w:val="24"/>
          <w:szCs w:val="24"/>
        </w:rPr>
        <w:t>payment of interest on any mortgage obligation</w:t>
      </w:r>
      <w:r w:rsidRPr="006064B5">
        <w:rPr>
          <w:rFonts w:cs="Times New Roman"/>
          <w:sz w:val="24"/>
          <w:szCs w:val="24"/>
        </w:rPr>
        <w:t xml:space="preserve"> (</w:t>
      </w:r>
      <w:r w:rsidR="00B54682" w:rsidRPr="006064B5">
        <w:rPr>
          <w:rFonts w:cs="Times New Roman"/>
          <w:sz w:val="24"/>
          <w:szCs w:val="24"/>
        </w:rPr>
        <w:t>but not any prepayment of or payment of principal on a mortgage</w:t>
      </w:r>
      <w:r w:rsidRPr="006064B5">
        <w:rPr>
          <w:rFonts w:cs="Times New Roman"/>
          <w:sz w:val="24"/>
          <w:szCs w:val="24"/>
        </w:rPr>
        <w:t xml:space="preserve">), rent, utilities, and </w:t>
      </w:r>
      <w:r w:rsidR="00B54682" w:rsidRPr="006064B5">
        <w:rPr>
          <w:rFonts w:cs="Times New Roman"/>
          <w:sz w:val="24"/>
          <w:szCs w:val="24"/>
        </w:rPr>
        <w:t xml:space="preserve">interest on any other debt obligations that </w:t>
      </w:r>
      <w:r w:rsidRPr="006064B5">
        <w:rPr>
          <w:rFonts w:cs="Times New Roman"/>
          <w:sz w:val="24"/>
          <w:szCs w:val="24"/>
        </w:rPr>
        <w:t xml:space="preserve">the small business had </w:t>
      </w:r>
      <w:r w:rsidR="00B54682" w:rsidRPr="006064B5">
        <w:rPr>
          <w:rFonts w:cs="Times New Roman"/>
          <w:sz w:val="24"/>
          <w:szCs w:val="24"/>
        </w:rPr>
        <w:t>incurred before February 15, 2020.</w:t>
      </w:r>
    </w:p>
    <w:p w14:paraId="45E902EC" w14:textId="373E1FDE" w:rsidR="00665A23" w:rsidRPr="006064B5" w:rsidRDefault="00F8023E" w:rsidP="00665A23">
      <w:pPr>
        <w:pStyle w:val="Text"/>
        <w:ind w:firstLine="720"/>
        <w:rPr>
          <w:rFonts w:cs="Times New Roman"/>
          <w:sz w:val="24"/>
          <w:szCs w:val="24"/>
        </w:rPr>
      </w:pPr>
      <w:r w:rsidRPr="006064B5">
        <w:rPr>
          <w:rFonts w:cs="Times New Roman"/>
          <w:sz w:val="24"/>
          <w:szCs w:val="24"/>
        </w:rPr>
        <w:t xml:space="preserve">The interest rate for a covered loan may not exceed 4%, and there is no prepayment penalty.  </w:t>
      </w:r>
      <w:r w:rsidR="00DC392B" w:rsidRPr="006064B5">
        <w:rPr>
          <w:rFonts w:cs="Times New Roman"/>
          <w:sz w:val="24"/>
          <w:szCs w:val="24"/>
        </w:rPr>
        <w:t xml:space="preserve">The interest rate for covered loans was scheduled to be set at 0.5%, but after some lobbying by various commercial lenders, including Bank of America, it will be set initially at 1%.  </w:t>
      </w:r>
      <w:r w:rsidR="003B300F" w:rsidRPr="006064B5">
        <w:rPr>
          <w:rFonts w:cs="Times New Roman"/>
          <w:sz w:val="24"/>
          <w:szCs w:val="24"/>
        </w:rPr>
        <w:t xml:space="preserve">The SBA is permitted to </w:t>
      </w:r>
      <w:r w:rsidRPr="006064B5">
        <w:rPr>
          <w:rFonts w:cs="Times New Roman"/>
          <w:sz w:val="24"/>
          <w:szCs w:val="24"/>
        </w:rPr>
        <w:t xml:space="preserve">charge a fee to each lender (which may not be passed through to the borrower) for each guarantee under the 7(a) Loan Program.  The CARES Act prohibits the SBA from collecting its loan guarantee fee for a covered loan during the covered period.  The loans are nonrecourse, and there are no personal guarantees or collateral for covered loans.  </w:t>
      </w:r>
    </w:p>
    <w:p w14:paraId="6E70B2A8" w14:textId="3BDE54C3" w:rsidR="00086CD0" w:rsidRDefault="00665A23" w:rsidP="00B45966">
      <w:pPr>
        <w:pStyle w:val="Text"/>
        <w:ind w:firstLine="720"/>
      </w:pPr>
      <w:r w:rsidRPr="006064B5">
        <w:rPr>
          <w:rFonts w:cs="Times New Roman"/>
          <w:sz w:val="24"/>
          <w:szCs w:val="24"/>
        </w:rPr>
        <w:t xml:space="preserve">The most important aspect of the small business relief enacted in Title I of the CARES Act is the </w:t>
      </w:r>
      <w:r w:rsidRPr="005660FD">
        <w:rPr>
          <w:rFonts w:cs="Times New Roman"/>
          <w:b/>
          <w:bCs/>
          <w:i/>
          <w:iCs/>
          <w:sz w:val="24"/>
          <w:szCs w:val="24"/>
        </w:rPr>
        <w:t>possibility of loan forgiveness</w:t>
      </w:r>
      <w:r w:rsidR="001B66D3" w:rsidRPr="006064B5">
        <w:rPr>
          <w:rFonts w:cs="Times New Roman"/>
          <w:sz w:val="24"/>
          <w:szCs w:val="24"/>
        </w:rPr>
        <w:t xml:space="preserve"> as set forth in section 1106</w:t>
      </w:r>
      <w:r w:rsidRPr="006064B5">
        <w:rPr>
          <w:rFonts w:cs="Times New Roman"/>
          <w:sz w:val="24"/>
          <w:szCs w:val="24"/>
        </w:rPr>
        <w:t xml:space="preserve">.  The amount of the </w:t>
      </w:r>
      <w:r w:rsidR="005660FD">
        <w:rPr>
          <w:rFonts w:cs="Times New Roman"/>
          <w:sz w:val="24"/>
          <w:szCs w:val="24"/>
        </w:rPr>
        <w:t xml:space="preserve">PPP </w:t>
      </w:r>
      <w:r w:rsidRPr="006064B5">
        <w:rPr>
          <w:rFonts w:cs="Times New Roman"/>
          <w:sz w:val="24"/>
          <w:szCs w:val="24"/>
        </w:rPr>
        <w:t xml:space="preserve">covered loan that is eligible for forgiveness is the sum of the </w:t>
      </w:r>
      <w:r w:rsidR="001B66D3" w:rsidRPr="006064B5">
        <w:rPr>
          <w:rFonts w:cs="Times New Roman"/>
          <w:sz w:val="24"/>
          <w:szCs w:val="24"/>
        </w:rPr>
        <w:t xml:space="preserve">certain </w:t>
      </w:r>
      <w:r w:rsidRPr="006064B5">
        <w:rPr>
          <w:rFonts w:cs="Times New Roman"/>
          <w:sz w:val="24"/>
          <w:szCs w:val="24"/>
        </w:rPr>
        <w:t xml:space="preserve">costs incurred and payments made during the eight weeks after the origination of the covered loan (“forgivable amount”).  </w:t>
      </w:r>
      <w:r w:rsidR="001B66D3" w:rsidRPr="006064B5">
        <w:rPr>
          <w:rFonts w:cs="Times New Roman"/>
          <w:sz w:val="24"/>
          <w:szCs w:val="24"/>
        </w:rPr>
        <w:t xml:space="preserve">Under section 1106(b), the </w:t>
      </w:r>
      <w:r w:rsidRPr="006064B5">
        <w:rPr>
          <w:rFonts w:cs="Times New Roman"/>
          <w:sz w:val="24"/>
          <w:szCs w:val="24"/>
        </w:rPr>
        <w:t>eligible forgivable amount includes payroll costs (as defined above),</w:t>
      </w:r>
      <w:r w:rsidRPr="006064B5">
        <w:t xml:space="preserve"> interest payments on a mortgage incurred before February 15, 2020 (“covered mortgage obligation”), rent under a lease </w:t>
      </w:r>
      <w:r w:rsidR="001B66D3" w:rsidRPr="006064B5">
        <w:t xml:space="preserve">that was </w:t>
      </w:r>
      <w:r w:rsidRPr="006064B5">
        <w:t xml:space="preserve">in effect before February 15, 2020, and various types of </w:t>
      </w:r>
      <w:r w:rsidR="0043619E" w:rsidRPr="006064B5">
        <w:t xml:space="preserve">covered </w:t>
      </w:r>
      <w:r w:rsidRPr="006064B5">
        <w:t>utility payments (water, electricity, gas, telephone, transp</w:t>
      </w:r>
      <w:r w:rsidR="0043619E" w:rsidRPr="006064B5">
        <w:t xml:space="preserve">ortation, and internet access) </w:t>
      </w:r>
      <w:r w:rsidR="001B66D3" w:rsidRPr="006064B5">
        <w:t xml:space="preserve">for </w:t>
      </w:r>
      <w:r w:rsidR="0043619E" w:rsidRPr="006064B5">
        <w:t xml:space="preserve">service in effect before February 15, 2020.  </w:t>
      </w:r>
      <w:r w:rsidR="001B66D3" w:rsidRPr="006064B5">
        <w:t xml:space="preserve">An employer with employees who receive tips would also be eligible for loan forgiveness on the amount of those tips.  </w:t>
      </w:r>
      <w:r w:rsidR="00B45966" w:rsidRPr="006064B5">
        <w:t>Section 1106(d)(4).</w:t>
      </w:r>
      <w:r w:rsidR="000749CC">
        <w:t xml:space="preserve">  On April 2, 2020, the SBA promulgated a rule adding a requirement that 75% of the loan forgiveness amount must be attributable to payroll costs (that is, not more than 25% of the amount forgiven may be non-payroll costs)</w:t>
      </w:r>
      <w:r w:rsidR="00086CD0">
        <w:t xml:space="preserve">  </w:t>
      </w:r>
    </w:p>
    <w:p w14:paraId="1D32AB32" w14:textId="77777777" w:rsidR="00B45966" w:rsidRPr="006064B5" w:rsidRDefault="00086CD0" w:rsidP="00B45966">
      <w:pPr>
        <w:pStyle w:val="Text"/>
        <w:ind w:firstLine="720"/>
      </w:pPr>
      <w:r>
        <w:br w:type="page"/>
      </w:r>
    </w:p>
    <w:p w14:paraId="13EE91BD" w14:textId="7820E11E" w:rsidR="003B3911" w:rsidRDefault="001B66D3" w:rsidP="00B45966">
      <w:pPr>
        <w:pStyle w:val="Text"/>
        <w:ind w:firstLine="720"/>
        <w:rPr>
          <w:rFonts w:cs="Times New Roman"/>
          <w:sz w:val="24"/>
          <w:szCs w:val="24"/>
        </w:rPr>
      </w:pPr>
      <w:r w:rsidRPr="006064B5">
        <w:t xml:space="preserve">The amount of loan forgiveness would be reduced based on a reduction of employees.  The reduction would be the eligible forgiveness amount </w:t>
      </w:r>
      <w:r w:rsidR="00835C17" w:rsidRPr="006064B5">
        <w:t>multiplied by a fraction</w:t>
      </w:r>
      <w:r w:rsidR="00266EF4" w:rsidRPr="006064B5">
        <w:t xml:space="preserve"> the numerator of which is</w:t>
      </w:r>
      <w:r w:rsidR="00893834" w:rsidRPr="006064B5">
        <w:t xml:space="preserve"> the average number of full-time equivalent employees per month that the small business employs during the eight-week period after the origination of the covered loan</w:t>
      </w:r>
      <w:r w:rsidR="00893834">
        <w:t xml:space="preserve"> and </w:t>
      </w:r>
      <w:r w:rsidR="00893834" w:rsidRPr="006064B5">
        <w:t>the denominator i</w:t>
      </w:r>
      <w:r w:rsidR="00893834">
        <w:t>s</w:t>
      </w:r>
      <w:r w:rsidR="00835C17" w:rsidRPr="006064B5">
        <w:t xml:space="preserve"> </w:t>
      </w:r>
      <w:r w:rsidR="00893834">
        <w:t xml:space="preserve">the </w:t>
      </w:r>
      <w:r w:rsidR="00835C17" w:rsidRPr="006064B5">
        <w:t>average number of full-time equivalent employees that the small business employer employ</w:t>
      </w:r>
      <w:r w:rsidR="00893834">
        <w:t>ed</w:t>
      </w:r>
      <w:r w:rsidR="00835C17" w:rsidRPr="006064B5">
        <w:t xml:space="preserve"> from February 15 through June 30, 2019 or </w:t>
      </w:r>
      <w:r w:rsidR="00266EF4" w:rsidRPr="006064B5">
        <w:t xml:space="preserve">(at the election of the business) </w:t>
      </w:r>
      <w:r w:rsidR="00835C17" w:rsidRPr="006064B5">
        <w:t xml:space="preserve">for the period from </w:t>
      </w:r>
      <w:r w:rsidR="00266EF4" w:rsidRPr="006064B5">
        <w:t xml:space="preserve">January 1 through February 29, 2020 and the.  The fraction cannot be greater than </w:t>
      </w:r>
      <w:r w:rsidR="00B45966" w:rsidRPr="006064B5">
        <w:t xml:space="preserve">one.  </w:t>
      </w:r>
      <w:r w:rsidR="00B45966" w:rsidRPr="006064B5">
        <w:rPr>
          <w:rFonts w:cs="Times New Roman"/>
          <w:sz w:val="24"/>
          <w:szCs w:val="24"/>
        </w:rPr>
        <w:t>The average number of full-time equivalent employees is determined by calculating the average number of full-time equivalent employees for each pay period falling within a month.</w:t>
      </w:r>
      <w:r w:rsidR="008A78D8" w:rsidRPr="006064B5">
        <w:t xml:space="preserve">  Section 1106(d)(</w:t>
      </w:r>
      <w:r w:rsidR="008A78D8">
        <w:t>2</w:t>
      </w:r>
      <w:r w:rsidR="008A78D8" w:rsidRPr="006064B5">
        <w:t>).</w:t>
      </w:r>
      <w:r w:rsidR="008A78D8">
        <w:rPr>
          <w:rFonts w:cs="Times New Roman"/>
          <w:sz w:val="24"/>
          <w:szCs w:val="24"/>
        </w:rPr>
        <w:t xml:space="preserve"> </w:t>
      </w:r>
      <w:r w:rsidR="00B45966" w:rsidRPr="006064B5">
        <w:rPr>
          <w:rFonts w:cs="Times New Roman"/>
          <w:sz w:val="24"/>
          <w:szCs w:val="24"/>
        </w:rPr>
        <w:t xml:space="preserve"> </w:t>
      </w:r>
    </w:p>
    <w:p w14:paraId="1353AEB7" w14:textId="120C2759" w:rsidR="007E4841" w:rsidRPr="006064B5" w:rsidRDefault="00B45966" w:rsidP="007E4841">
      <w:pPr>
        <w:pStyle w:val="Text"/>
        <w:ind w:firstLine="720"/>
        <w:rPr>
          <w:rFonts w:cs="Times New Roman"/>
          <w:sz w:val="24"/>
          <w:szCs w:val="24"/>
        </w:rPr>
      </w:pPr>
      <w:r w:rsidRPr="006064B5">
        <w:rPr>
          <w:rFonts w:cs="Times New Roman"/>
          <w:sz w:val="24"/>
          <w:szCs w:val="24"/>
        </w:rPr>
        <w:t xml:space="preserve">The amount of loan forgiveness is reduced also by the amount of any reduction during the eight-week period after the origination of the covered loan in the total salary or wages of any employee who did not receive, during any single pay period during 2019, wages or salary at an annualized rate of pay in an amount more than $100,000 by more than 25 percent of the total salary or wages of the employee during the most recent full quarter during which the employee was employed before the beginning of that eight-week period.  Section 1106(d)(3).  </w:t>
      </w:r>
      <w:r w:rsidR="007E4841" w:rsidRPr="006064B5">
        <w:rPr>
          <w:rFonts w:cs="Times New Roman"/>
          <w:sz w:val="24"/>
          <w:szCs w:val="24"/>
        </w:rPr>
        <w:t>Section 1106(d)(6) of the CARES Act g</w:t>
      </w:r>
      <w:r w:rsidR="003843A3">
        <w:rPr>
          <w:rFonts w:cs="Times New Roman"/>
          <w:sz w:val="24"/>
          <w:szCs w:val="24"/>
        </w:rPr>
        <w:t>ave</w:t>
      </w:r>
      <w:r w:rsidR="007E4841" w:rsidRPr="006064B5">
        <w:rPr>
          <w:rFonts w:cs="Times New Roman"/>
          <w:sz w:val="24"/>
          <w:szCs w:val="24"/>
        </w:rPr>
        <w:t xml:space="preserve"> the Secretary of Treasury and the Administrator of the SBA the authority to prescribe regulations granting de minimis exemptions from the requirements that limit loan forgiveness.  </w:t>
      </w:r>
    </w:p>
    <w:p w14:paraId="60E08DB2" w14:textId="774E364E" w:rsidR="00797420" w:rsidRPr="006064B5" w:rsidRDefault="007464AA" w:rsidP="00797420">
      <w:pPr>
        <w:pStyle w:val="Text"/>
        <w:ind w:firstLine="720"/>
        <w:rPr>
          <w:rFonts w:cs="Times New Roman"/>
          <w:sz w:val="24"/>
          <w:szCs w:val="24"/>
        </w:rPr>
      </w:pPr>
      <w:r w:rsidRPr="006064B5">
        <w:rPr>
          <w:rFonts w:cs="Times New Roman"/>
          <w:sz w:val="24"/>
          <w:szCs w:val="24"/>
        </w:rPr>
        <w:t xml:space="preserve">Section 1106(e) set forth the requirements for seeking loan forgiveness.  The small business </w:t>
      </w:r>
      <w:r w:rsidR="00797420" w:rsidRPr="006064B5">
        <w:rPr>
          <w:rFonts w:cs="Times New Roman"/>
          <w:sz w:val="24"/>
          <w:szCs w:val="24"/>
        </w:rPr>
        <w:t xml:space="preserve">borrower </w:t>
      </w:r>
      <w:r w:rsidRPr="006064B5">
        <w:rPr>
          <w:rFonts w:cs="Times New Roman"/>
          <w:sz w:val="24"/>
          <w:szCs w:val="24"/>
        </w:rPr>
        <w:t xml:space="preserve">seeking loan forgiveness shall provide the lender servicing the covered loan an application for forgiveness </w:t>
      </w:r>
      <w:r w:rsidR="00797420" w:rsidRPr="006064B5">
        <w:rPr>
          <w:rFonts w:cs="Times New Roman"/>
          <w:sz w:val="24"/>
          <w:szCs w:val="24"/>
        </w:rPr>
        <w:t>that includes the following:  (1) documentation verifying the number of full-time equivalent employees on payroll and their pay rates for the relevant pay periods, including IRS the employer’s: IRS payroll tax filings and its state income, payroll and unemployment tax filings, (2) documentation, including cancelled checks, payment receipts, transcripts of accounts, or other documents verifying payments on covered mortgage obligations, covered lease obligations, and covered utility payments, (3) a certification from a representative of the small business borrower authorized to make such certifications that the documentation presented is true and correct, and that the amount for which forgiveness is requested was used to retain employees, make interest payments on a covered mortgage obligation, a covered rent obligation, or covered utility payments, and (4) any other documentation the SBA Administrator determines to be necessary.</w:t>
      </w:r>
    </w:p>
    <w:p w14:paraId="49820A66" w14:textId="0F0137D3" w:rsidR="00797420" w:rsidRDefault="009E2117" w:rsidP="00797420">
      <w:pPr>
        <w:pStyle w:val="Text"/>
        <w:ind w:firstLine="720"/>
        <w:rPr>
          <w:rFonts w:cs="Times New Roman"/>
          <w:sz w:val="24"/>
          <w:szCs w:val="24"/>
        </w:rPr>
      </w:pPr>
      <w:r w:rsidRPr="006064B5">
        <w:rPr>
          <w:rFonts w:cs="Times New Roman"/>
          <w:sz w:val="24"/>
          <w:szCs w:val="24"/>
        </w:rPr>
        <w:t xml:space="preserve">The lender has sixty days after receiving a complete application for loan forgiveness to </w:t>
      </w:r>
      <w:r w:rsidR="0021614A" w:rsidRPr="006064B5">
        <w:rPr>
          <w:rFonts w:cs="Times New Roman"/>
          <w:sz w:val="24"/>
          <w:szCs w:val="24"/>
        </w:rPr>
        <w:t xml:space="preserve">approve or deny the </w:t>
      </w:r>
      <w:r w:rsidRPr="006064B5">
        <w:rPr>
          <w:rFonts w:cs="Times New Roman"/>
          <w:sz w:val="24"/>
          <w:szCs w:val="24"/>
        </w:rPr>
        <w:t>loan forgiveness.  Section 1106(g).  If a lender has received the required documentation, the SBA may not take an</w:t>
      </w:r>
      <w:r w:rsidR="0021614A" w:rsidRPr="006064B5">
        <w:rPr>
          <w:rFonts w:cs="Times New Roman"/>
          <w:sz w:val="24"/>
          <w:szCs w:val="24"/>
        </w:rPr>
        <w:t xml:space="preserve"> </w:t>
      </w:r>
      <w:r w:rsidRPr="006064B5">
        <w:rPr>
          <w:rFonts w:cs="Times New Roman"/>
          <w:sz w:val="24"/>
          <w:szCs w:val="24"/>
        </w:rPr>
        <w:t>enforcement action under section 47</w:t>
      </w:r>
      <w:r w:rsidR="0021614A" w:rsidRPr="006064B5">
        <w:rPr>
          <w:rFonts w:cs="Times New Roman"/>
          <w:sz w:val="24"/>
          <w:szCs w:val="24"/>
        </w:rPr>
        <w:t xml:space="preserve">(e) of the Small Business Act, and the lender my not be subject to any penalties by the SBA relating to the loan forgiveness.  </w:t>
      </w:r>
    </w:p>
    <w:p w14:paraId="3CC74A35" w14:textId="47149078" w:rsidR="00630612" w:rsidRDefault="00630612" w:rsidP="00797420">
      <w:pPr>
        <w:pStyle w:val="Text"/>
        <w:ind w:firstLine="720"/>
        <w:rPr>
          <w:rFonts w:cs="Times New Roman"/>
          <w:sz w:val="24"/>
          <w:szCs w:val="24"/>
        </w:rPr>
      </w:pPr>
      <w:r>
        <w:rPr>
          <w:rFonts w:cs="Times New Roman"/>
          <w:sz w:val="24"/>
          <w:szCs w:val="24"/>
        </w:rPr>
        <w:t>As stated previously, section 1106(i) of the CARES Act provides that the amount of the covered loan that is forgiven will not constitute cancellation of indebtedness income under section 108 of the Internal Revenue Code.  If a small business defaults on a covered loan, and the SBA pays the lending bank pursuant to its guarantee, the SBA will have a subrogation claim against the small business.  Regardless, the covered loan wi</w:t>
      </w:r>
      <w:r w:rsidR="009D2607">
        <w:rPr>
          <w:rFonts w:cs="Times New Roman"/>
          <w:sz w:val="24"/>
          <w:szCs w:val="24"/>
        </w:rPr>
        <w:t>ll</w:t>
      </w:r>
      <w:r>
        <w:rPr>
          <w:rFonts w:cs="Times New Roman"/>
          <w:sz w:val="24"/>
          <w:szCs w:val="24"/>
        </w:rPr>
        <w:t xml:space="preserve"> be </w:t>
      </w:r>
      <w:r>
        <w:rPr>
          <w:rFonts w:cs="Times New Roman"/>
          <w:sz w:val="24"/>
          <w:szCs w:val="24"/>
        </w:rPr>
        <w:lastRenderedPageBreak/>
        <w:t xml:space="preserve">nonrecourse for the SBA against the </w:t>
      </w:r>
      <w:r w:rsidR="008C0708">
        <w:rPr>
          <w:rFonts w:cs="Times New Roman"/>
          <w:sz w:val="24"/>
          <w:szCs w:val="24"/>
        </w:rPr>
        <w:t>small business borrower, its shareholders, members, or partners, except if the</w:t>
      </w:r>
      <w:r w:rsidR="002E0BBE">
        <w:rPr>
          <w:rFonts w:cs="Times New Roman"/>
          <w:sz w:val="24"/>
          <w:szCs w:val="24"/>
        </w:rPr>
        <w:t>y used the</w:t>
      </w:r>
      <w:r w:rsidR="008C0708">
        <w:rPr>
          <w:rFonts w:cs="Times New Roman"/>
          <w:sz w:val="24"/>
          <w:szCs w:val="24"/>
        </w:rPr>
        <w:t xml:space="preserve"> </w:t>
      </w:r>
      <w:r w:rsidR="009D2607">
        <w:rPr>
          <w:rFonts w:cs="Times New Roman"/>
          <w:sz w:val="24"/>
          <w:szCs w:val="24"/>
        </w:rPr>
        <w:t>covered loan</w:t>
      </w:r>
      <w:r w:rsidR="002E0BBE">
        <w:rPr>
          <w:rFonts w:cs="Times New Roman"/>
          <w:sz w:val="24"/>
          <w:szCs w:val="24"/>
        </w:rPr>
        <w:t xml:space="preserve"> proceeds </w:t>
      </w:r>
      <w:r w:rsidR="008C0708">
        <w:rPr>
          <w:rFonts w:cs="Times New Roman"/>
          <w:sz w:val="24"/>
          <w:szCs w:val="24"/>
        </w:rPr>
        <w:t xml:space="preserve">for unauthorized purposes.  </w:t>
      </w:r>
      <w:r w:rsidR="009D2607" w:rsidRPr="006064B5">
        <w:rPr>
          <w:rFonts w:cs="Times New Roman"/>
          <w:sz w:val="24"/>
          <w:szCs w:val="24"/>
        </w:rPr>
        <w:t xml:space="preserve">Section 1102(a)(1)(B).  </w:t>
      </w:r>
    </w:p>
    <w:p w14:paraId="64BA403F" w14:textId="4DF7B733" w:rsidR="00586542" w:rsidRDefault="00557E05" w:rsidP="004D39B2">
      <w:pPr>
        <w:pStyle w:val="Text"/>
        <w:ind w:firstLine="720"/>
        <w:rPr>
          <w:rFonts w:cs="Times New Roman"/>
          <w:sz w:val="24"/>
          <w:szCs w:val="24"/>
        </w:rPr>
      </w:pPr>
      <w:r>
        <w:rPr>
          <w:rFonts w:cs="Times New Roman"/>
          <w:sz w:val="24"/>
          <w:szCs w:val="24"/>
        </w:rPr>
        <w:t xml:space="preserve">If the covered loan has a remaining balance after loan forgiveness, the SBA will continue to guarantee the loan balance.  The loan will have a maximum maturity date of no more than ten years after the small business borrower applies for loan forgiveness under section 1106 of the CARES Act.  Section 1102(a)(1)(B).  </w:t>
      </w:r>
      <w:r w:rsidR="00E166EF">
        <w:rPr>
          <w:rFonts w:cs="Times New Roman"/>
          <w:sz w:val="24"/>
          <w:szCs w:val="24"/>
        </w:rPr>
        <w:t xml:space="preserve">The loan repayment period was initially set at </w:t>
      </w:r>
      <w:r w:rsidR="004D39B2">
        <w:rPr>
          <w:rFonts w:cs="Times New Roman"/>
          <w:sz w:val="24"/>
          <w:szCs w:val="24"/>
        </w:rPr>
        <w:t xml:space="preserve">a maximum of </w:t>
      </w:r>
      <w:r w:rsidR="00E166EF">
        <w:rPr>
          <w:rFonts w:cs="Times New Roman"/>
          <w:sz w:val="24"/>
          <w:szCs w:val="24"/>
        </w:rPr>
        <w:t xml:space="preserve">two years.  </w:t>
      </w:r>
    </w:p>
    <w:p w14:paraId="0ACD57FA" w14:textId="77777777" w:rsidR="006842C5" w:rsidRDefault="006842C5" w:rsidP="006842C5">
      <w:pPr>
        <w:pStyle w:val="Text"/>
        <w:ind w:firstLine="0"/>
        <w:rPr>
          <w:rFonts w:cs="Times New Roman"/>
          <w:sz w:val="24"/>
          <w:szCs w:val="24"/>
        </w:rPr>
      </w:pPr>
    </w:p>
    <w:p w14:paraId="6BD98817" w14:textId="1A997BA3" w:rsidR="006842C5" w:rsidRPr="006842C5" w:rsidRDefault="006842C5" w:rsidP="006842C5">
      <w:pPr>
        <w:pStyle w:val="Text"/>
        <w:ind w:firstLine="0"/>
        <w:rPr>
          <w:rFonts w:cs="Times New Roman"/>
          <w:b/>
          <w:bCs/>
          <w:sz w:val="24"/>
          <w:szCs w:val="24"/>
          <w:u w:val="single"/>
        </w:rPr>
      </w:pPr>
      <w:r w:rsidRPr="006842C5">
        <w:rPr>
          <w:rFonts w:cs="Times New Roman"/>
          <w:b/>
          <w:bCs/>
          <w:sz w:val="24"/>
          <w:szCs w:val="24"/>
          <w:u w:val="single"/>
        </w:rPr>
        <w:t>The P</w:t>
      </w:r>
      <w:r>
        <w:rPr>
          <w:rFonts w:cs="Times New Roman"/>
          <w:b/>
          <w:bCs/>
          <w:sz w:val="24"/>
          <w:szCs w:val="24"/>
          <w:u w:val="single"/>
        </w:rPr>
        <w:t xml:space="preserve">aycheck </w:t>
      </w:r>
      <w:r w:rsidRPr="006842C5">
        <w:rPr>
          <w:rFonts w:cs="Times New Roman"/>
          <w:b/>
          <w:bCs/>
          <w:sz w:val="24"/>
          <w:szCs w:val="24"/>
          <w:u w:val="single"/>
        </w:rPr>
        <w:t>P</w:t>
      </w:r>
      <w:r>
        <w:rPr>
          <w:rFonts w:cs="Times New Roman"/>
          <w:b/>
          <w:bCs/>
          <w:sz w:val="24"/>
          <w:szCs w:val="24"/>
          <w:u w:val="single"/>
        </w:rPr>
        <w:t xml:space="preserve">rotection </w:t>
      </w:r>
      <w:r w:rsidRPr="006842C5">
        <w:rPr>
          <w:rFonts w:cs="Times New Roman"/>
          <w:b/>
          <w:bCs/>
          <w:sz w:val="24"/>
          <w:szCs w:val="24"/>
          <w:u w:val="single"/>
        </w:rPr>
        <w:t>P</w:t>
      </w:r>
      <w:r>
        <w:rPr>
          <w:rFonts w:cs="Times New Roman"/>
          <w:b/>
          <w:bCs/>
          <w:sz w:val="24"/>
          <w:szCs w:val="24"/>
          <w:u w:val="single"/>
        </w:rPr>
        <w:t>rogram</w:t>
      </w:r>
      <w:r w:rsidRPr="006842C5">
        <w:rPr>
          <w:rFonts w:cs="Times New Roman"/>
          <w:b/>
          <w:bCs/>
          <w:sz w:val="24"/>
          <w:szCs w:val="24"/>
          <w:u w:val="single"/>
        </w:rPr>
        <w:t xml:space="preserve"> Loan Process</w:t>
      </w:r>
    </w:p>
    <w:p w14:paraId="2BFAAD12" w14:textId="3AD650C8" w:rsidR="006842C5" w:rsidRDefault="006842C5" w:rsidP="006842C5">
      <w:pPr>
        <w:pStyle w:val="Text"/>
        <w:ind w:firstLine="720"/>
        <w:rPr>
          <w:rFonts w:cs="Times New Roman"/>
          <w:sz w:val="24"/>
          <w:szCs w:val="24"/>
        </w:rPr>
      </w:pPr>
      <w:r>
        <w:rPr>
          <w:rFonts w:cs="Times New Roman"/>
          <w:sz w:val="24"/>
          <w:szCs w:val="24"/>
        </w:rPr>
        <w:t>For purposes of making a covered loan, lenders may only consider if the small business was operating on February 15, 2020 and had employees t</w:t>
      </w:r>
      <w:r w:rsidR="009F3DF5">
        <w:rPr>
          <w:rFonts w:cs="Times New Roman"/>
          <w:sz w:val="24"/>
          <w:szCs w:val="24"/>
        </w:rPr>
        <w:t>o whom</w:t>
      </w:r>
      <w:r>
        <w:rPr>
          <w:rFonts w:cs="Times New Roman"/>
          <w:sz w:val="24"/>
          <w:szCs w:val="24"/>
        </w:rPr>
        <w:t xml:space="preserve"> it paid salaries </w:t>
      </w:r>
      <w:r w:rsidR="009F3DF5">
        <w:rPr>
          <w:rFonts w:cs="Times New Roman"/>
          <w:sz w:val="24"/>
          <w:szCs w:val="24"/>
        </w:rPr>
        <w:t>(</w:t>
      </w:r>
      <w:r>
        <w:rPr>
          <w:rFonts w:cs="Times New Roman"/>
          <w:sz w:val="24"/>
          <w:szCs w:val="24"/>
        </w:rPr>
        <w:t xml:space="preserve">and </w:t>
      </w:r>
      <w:r w:rsidR="009F3DF5">
        <w:rPr>
          <w:rFonts w:cs="Times New Roman"/>
          <w:sz w:val="24"/>
          <w:szCs w:val="24"/>
        </w:rPr>
        <w:t xml:space="preserve">from whom it </w:t>
      </w:r>
      <w:r>
        <w:rPr>
          <w:rFonts w:cs="Times New Roman"/>
          <w:sz w:val="24"/>
          <w:szCs w:val="24"/>
        </w:rPr>
        <w:t>withheld payroll taxes</w:t>
      </w:r>
      <w:r w:rsidR="009F3DF5">
        <w:rPr>
          <w:rFonts w:cs="Times New Roman"/>
          <w:sz w:val="24"/>
          <w:szCs w:val="24"/>
        </w:rPr>
        <w:t>)</w:t>
      </w:r>
      <w:r>
        <w:rPr>
          <w:rFonts w:cs="Times New Roman"/>
          <w:sz w:val="24"/>
          <w:szCs w:val="24"/>
        </w:rPr>
        <w:t xml:space="preserve"> and/or independent contractors to whom it paid compensation and issued Form 100-MISC.  A small business applying for a PPP loan (a covered loan) may not be required to show that it could not obtain a loan elsewhere, put up collateral for such loan, or be required to provide personal guarantees.  Section 1102(a)(1)(B).  It need only certify that the current economic conditions make the loan necessary to support the ongoing business operations, that it will use loan proceeds to retain workers and maintain payroll, pay its </w:t>
      </w:r>
      <w:r w:rsidRPr="006064B5">
        <w:rPr>
          <w:rFonts w:cs="Times New Roman"/>
          <w:sz w:val="24"/>
          <w:szCs w:val="24"/>
        </w:rPr>
        <w:t>mortgage</w:t>
      </w:r>
      <w:r>
        <w:rPr>
          <w:rFonts w:cs="Times New Roman"/>
          <w:sz w:val="24"/>
          <w:szCs w:val="24"/>
        </w:rPr>
        <w:t xml:space="preserve">, </w:t>
      </w:r>
      <w:r w:rsidRPr="006064B5">
        <w:rPr>
          <w:rFonts w:cs="Times New Roman"/>
          <w:sz w:val="24"/>
          <w:szCs w:val="24"/>
        </w:rPr>
        <w:t xml:space="preserve">rent, </w:t>
      </w:r>
      <w:r>
        <w:rPr>
          <w:rFonts w:cs="Times New Roman"/>
          <w:sz w:val="24"/>
          <w:szCs w:val="24"/>
        </w:rPr>
        <w:t xml:space="preserve">and </w:t>
      </w:r>
      <w:r w:rsidRPr="006064B5">
        <w:rPr>
          <w:rFonts w:cs="Times New Roman"/>
          <w:sz w:val="24"/>
          <w:szCs w:val="24"/>
        </w:rPr>
        <w:t xml:space="preserve">utilities, and </w:t>
      </w:r>
      <w:r>
        <w:rPr>
          <w:rFonts w:cs="Times New Roman"/>
          <w:sz w:val="24"/>
          <w:szCs w:val="24"/>
        </w:rPr>
        <w:t xml:space="preserve">that it has not or will not receive a duplicative PPP covered loan for the period from </w:t>
      </w:r>
      <w:r w:rsidRPr="006064B5">
        <w:rPr>
          <w:rFonts w:cs="Times New Roman"/>
          <w:sz w:val="24"/>
          <w:szCs w:val="24"/>
        </w:rPr>
        <w:t>February 15, 2020</w:t>
      </w:r>
      <w:r>
        <w:rPr>
          <w:rFonts w:cs="Times New Roman"/>
          <w:sz w:val="24"/>
          <w:szCs w:val="24"/>
        </w:rPr>
        <w:t xml:space="preserve"> through December 31, 2020.</w:t>
      </w:r>
    </w:p>
    <w:p w14:paraId="4ACE677A" w14:textId="77777777" w:rsidR="006842C5" w:rsidRDefault="006842C5" w:rsidP="006842C5">
      <w:pPr>
        <w:pStyle w:val="Text"/>
        <w:ind w:firstLine="0"/>
        <w:rPr>
          <w:rFonts w:cs="Times New Roman"/>
          <w:sz w:val="24"/>
          <w:szCs w:val="24"/>
        </w:rPr>
      </w:pPr>
      <w:r>
        <w:rPr>
          <w:rFonts w:cs="Times New Roman"/>
          <w:sz w:val="24"/>
          <w:szCs w:val="24"/>
        </w:rPr>
        <w:t xml:space="preserve">Here is a sample loan application form:  </w:t>
      </w:r>
      <w:hyperlink r:id="rId10" w:history="1">
        <w:r w:rsidRPr="008A0FA3">
          <w:rPr>
            <w:rStyle w:val="Hyperlink"/>
            <w:rFonts w:cs="Times New Roman"/>
            <w:sz w:val="24"/>
            <w:szCs w:val="24"/>
          </w:rPr>
          <w:t>https://www.sba.gov/sites/default/files/2020-03/Borrower%20Paycheck%20Protection%20Program%20Application_0.pdf</w:t>
        </w:r>
      </w:hyperlink>
      <w:r>
        <w:rPr>
          <w:rFonts w:cs="Times New Roman"/>
          <w:sz w:val="24"/>
          <w:szCs w:val="24"/>
        </w:rPr>
        <w:t xml:space="preserve">  </w:t>
      </w:r>
    </w:p>
    <w:p w14:paraId="52DD9D04" w14:textId="28A3F6ED" w:rsidR="009F3DF5" w:rsidRDefault="00586542" w:rsidP="00803B18">
      <w:pPr>
        <w:pStyle w:val="Text"/>
        <w:ind w:firstLine="720"/>
        <w:rPr>
          <w:rFonts w:cs="Times New Roman"/>
          <w:sz w:val="24"/>
          <w:szCs w:val="24"/>
        </w:rPr>
      </w:pPr>
      <w:r>
        <w:rPr>
          <w:rFonts w:cs="Times New Roman"/>
          <w:sz w:val="24"/>
          <w:szCs w:val="24"/>
        </w:rPr>
        <w:t xml:space="preserve">How well the </w:t>
      </w:r>
      <w:r w:rsidR="009F3DF5">
        <w:rPr>
          <w:rFonts w:cs="Times New Roman"/>
          <w:sz w:val="24"/>
          <w:szCs w:val="24"/>
        </w:rPr>
        <w:t xml:space="preserve">overall </w:t>
      </w:r>
      <w:r>
        <w:rPr>
          <w:rFonts w:cs="Times New Roman"/>
          <w:sz w:val="24"/>
          <w:szCs w:val="24"/>
        </w:rPr>
        <w:t xml:space="preserve">PPP loan process will work remains to be seen.  Initially, lenders </w:t>
      </w:r>
      <w:r w:rsidR="009F3DF5">
        <w:rPr>
          <w:rFonts w:cs="Times New Roman"/>
          <w:sz w:val="24"/>
          <w:szCs w:val="24"/>
        </w:rPr>
        <w:t xml:space="preserve">were </w:t>
      </w:r>
      <w:r>
        <w:rPr>
          <w:rFonts w:cs="Times New Roman"/>
          <w:sz w:val="24"/>
          <w:szCs w:val="24"/>
        </w:rPr>
        <w:t xml:space="preserve">hesitant to make loans because they </w:t>
      </w:r>
      <w:r w:rsidR="009F3DF5">
        <w:rPr>
          <w:rFonts w:cs="Times New Roman"/>
          <w:sz w:val="24"/>
          <w:szCs w:val="24"/>
        </w:rPr>
        <w:t>we</w:t>
      </w:r>
      <w:r>
        <w:rPr>
          <w:rFonts w:cs="Times New Roman"/>
          <w:sz w:val="24"/>
          <w:szCs w:val="24"/>
        </w:rPr>
        <w:t xml:space="preserve">re concerned about the documentation process and the rate of return.  </w:t>
      </w:r>
      <w:r w:rsidR="00716AA0">
        <w:rPr>
          <w:rFonts w:cs="Times New Roman"/>
          <w:sz w:val="24"/>
          <w:szCs w:val="24"/>
        </w:rPr>
        <w:t xml:space="preserve">(Even though the SBA guarantees the PPP covered loan the interest rate is 1% only.)  </w:t>
      </w:r>
      <w:r w:rsidR="009F3DF5">
        <w:rPr>
          <w:rFonts w:cs="Times New Roman"/>
          <w:sz w:val="24"/>
          <w:szCs w:val="24"/>
        </w:rPr>
        <w:t>In addition, large banks have not been terribly receptive to making loans to smaller business customers.  Small businesses should apply for loans with banks with which they already have a</w:t>
      </w:r>
      <w:r w:rsidR="00803B18">
        <w:rPr>
          <w:rFonts w:cs="Times New Roman"/>
          <w:sz w:val="24"/>
          <w:szCs w:val="24"/>
        </w:rPr>
        <w:t xml:space="preserve"> good</w:t>
      </w:r>
      <w:r w:rsidR="009F3DF5">
        <w:rPr>
          <w:rFonts w:cs="Times New Roman"/>
          <w:sz w:val="24"/>
          <w:szCs w:val="24"/>
        </w:rPr>
        <w:t xml:space="preserve"> banking relationship, as that may expedite the loan process.  Accordingly, if a small business does not have a </w:t>
      </w:r>
      <w:r w:rsidR="00803B18">
        <w:rPr>
          <w:rFonts w:cs="Times New Roman"/>
          <w:sz w:val="24"/>
          <w:szCs w:val="24"/>
        </w:rPr>
        <w:t xml:space="preserve">reliable, </w:t>
      </w:r>
      <w:r w:rsidR="009F3DF5">
        <w:rPr>
          <w:rFonts w:cs="Times New Roman"/>
          <w:sz w:val="24"/>
          <w:szCs w:val="24"/>
        </w:rPr>
        <w:t xml:space="preserve">established banking relationship already, then it should consider going to a smaller local or community bank that specializes in SBA loans and which would often be eager to establish a banking relationship with a local small business.  </w:t>
      </w:r>
      <w:r w:rsidR="00803B18">
        <w:rPr>
          <w:rFonts w:cs="Times New Roman"/>
          <w:sz w:val="24"/>
          <w:szCs w:val="24"/>
        </w:rPr>
        <w:t xml:space="preserve">Moreover, all banks do not have established SBA loan expertise, and those familiar with such loans are more efficient and can act faster.  </w:t>
      </w:r>
    </w:p>
    <w:p w14:paraId="4F65137C" w14:textId="76147849" w:rsidR="00D766A5" w:rsidRDefault="009F3DF5" w:rsidP="00803B18">
      <w:pPr>
        <w:pStyle w:val="Text"/>
        <w:ind w:firstLine="720"/>
        <w:rPr>
          <w:rFonts w:cs="Times New Roman"/>
          <w:sz w:val="24"/>
          <w:szCs w:val="24"/>
        </w:rPr>
      </w:pPr>
      <w:r>
        <w:rPr>
          <w:rFonts w:cs="Times New Roman"/>
          <w:sz w:val="24"/>
          <w:szCs w:val="24"/>
        </w:rPr>
        <w:t xml:space="preserve">Small businesses should complete the sample PPP loan application form and have payroll records for the last 12 months ready and available as well as their last federal income tax return and a profit and loss statement for the last 12 months.  All banks do not have established SBA loan expertise, and those familiar such loans are more efficient and can act faster.  Carrying too much debt can be a big burden for a small business, but this is not the typical debt.  A </w:t>
      </w:r>
      <w:r w:rsidR="00803B18">
        <w:rPr>
          <w:rFonts w:cs="Times New Roman"/>
          <w:sz w:val="24"/>
          <w:szCs w:val="24"/>
        </w:rPr>
        <w:t xml:space="preserve">substantial </w:t>
      </w:r>
      <w:r>
        <w:rPr>
          <w:rFonts w:cs="Times New Roman"/>
          <w:sz w:val="24"/>
          <w:szCs w:val="24"/>
        </w:rPr>
        <w:t>portion of it is eligible for forgiveness, and it will allow the business to keep employees on payroll, while hopefully helping it and its employees to survive the financial and health havoc that the coronavirus has unleashed.</w:t>
      </w:r>
      <w:r w:rsidR="0013143F">
        <w:rPr>
          <w:rFonts w:cs="Times New Roman"/>
          <w:sz w:val="24"/>
          <w:szCs w:val="24"/>
        </w:rPr>
        <w:t xml:space="preserve">  </w:t>
      </w:r>
      <w:r>
        <w:rPr>
          <w:rFonts w:cs="Times New Roman"/>
          <w:sz w:val="24"/>
          <w:szCs w:val="24"/>
        </w:rPr>
        <w:lastRenderedPageBreak/>
        <w:t xml:space="preserve">The PPP loan program may make the difference between the failure and survival of many small businesses.  </w:t>
      </w:r>
    </w:p>
    <w:p w14:paraId="22699514" w14:textId="2CE862C3" w:rsidR="0054218F" w:rsidRDefault="0054218F" w:rsidP="0061491D">
      <w:pPr>
        <w:pStyle w:val="Text"/>
        <w:ind w:firstLine="0"/>
        <w:rPr>
          <w:rFonts w:cs="Times New Roman"/>
          <w:sz w:val="24"/>
          <w:szCs w:val="24"/>
        </w:rPr>
      </w:pPr>
    </w:p>
    <w:p w14:paraId="6B1E16C1" w14:textId="3DC4916D" w:rsidR="00C36B13" w:rsidRPr="00C36B13" w:rsidRDefault="008477D2" w:rsidP="00C36B13">
      <w:pPr>
        <w:pStyle w:val="Text"/>
        <w:ind w:firstLine="0"/>
        <w:rPr>
          <w:rFonts w:cs="Times New Roman"/>
          <w:b/>
          <w:bCs/>
          <w:sz w:val="24"/>
          <w:szCs w:val="24"/>
          <w:u w:val="single"/>
        </w:rPr>
      </w:pPr>
      <w:r>
        <w:rPr>
          <w:rFonts w:cs="Times New Roman"/>
          <w:b/>
          <w:bCs/>
          <w:sz w:val="24"/>
          <w:szCs w:val="24"/>
          <w:u w:val="single"/>
        </w:rPr>
        <w:t xml:space="preserve">Important </w:t>
      </w:r>
      <w:r w:rsidR="00803B18">
        <w:rPr>
          <w:rFonts w:cs="Times New Roman"/>
          <w:b/>
          <w:bCs/>
          <w:sz w:val="24"/>
          <w:szCs w:val="24"/>
          <w:u w:val="single"/>
        </w:rPr>
        <w:t>Legislative Changes to the Paycheck Protection Program</w:t>
      </w:r>
    </w:p>
    <w:p w14:paraId="2C92ABB4" w14:textId="37728FD0" w:rsidR="006C2DE2" w:rsidRDefault="00C36B13" w:rsidP="0086773A">
      <w:pPr>
        <w:pStyle w:val="Text"/>
        <w:ind w:firstLine="720"/>
        <w:rPr>
          <w:rFonts w:cs="Times New Roman"/>
          <w:sz w:val="24"/>
          <w:szCs w:val="24"/>
        </w:rPr>
      </w:pPr>
      <w:r>
        <w:rPr>
          <w:rFonts w:cs="Times New Roman"/>
          <w:sz w:val="24"/>
          <w:szCs w:val="24"/>
        </w:rPr>
        <w:t xml:space="preserve">The </w:t>
      </w:r>
      <w:r w:rsidR="00803B18">
        <w:rPr>
          <w:rFonts w:cs="Times New Roman"/>
          <w:sz w:val="24"/>
          <w:szCs w:val="24"/>
        </w:rPr>
        <w:t>Paycheck Protection Program Flexibility Act of 2020</w:t>
      </w:r>
      <w:r w:rsidR="00850129">
        <w:rPr>
          <w:rFonts w:cs="Times New Roman"/>
          <w:sz w:val="24"/>
          <w:szCs w:val="24"/>
        </w:rPr>
        <w:t xml:space="preserve"> (the “PPPF</w:t>
      </w:r>
      <w:r w:rsidR="0090185A">
        <w:rPr>
          <w:rFonts w:cs="Times New Roman"/>
          <w:sz w:val="24"/>
          <w:szCs w:val="24"/>
        </w:rPr>
        <w:t xml:space="preserve"> </w:t>
      </w:r>
      <w:r w:rsidR="00850129">
        <w:rPr>
          <w:rFonts w:cs="Times New Roman"/>
          <w:sz w:val="24"/>
          <w:szCs w:val="24"/>
        </w:rPr>
        <w:t>Act”)</w:t>
      </w:r>
      <w:r w:rsidR="00803B18">
        <w:rPr>
          <w:rFonts w:cs="Times New Roman"/>
          <w:sz w:val="24"/>
          <w:szCs w:val="24"/>
        </w:rPr>
        <w:t xml:space="preserve">, which the president signed into law on June 5, 2020 </w:t>
      </w:r>
      <w:r w:rsidR="000749CC">
        <w:rPr>
          <w:rFonts w:cs="Times New Roman"/>
          <w:sz w:val="24"/>
          <w:szCs w:val="24"/>
        </w:rPr>
        <w:t xml:space="preserve">has made </w:t>
      </w:r>
      <w:r w:rsidR="00803B18">
        <w:rPr>
          <w:rFonts w:cs="Times New Roman"/>
          <w:sz w:val="24"/>
          <w:szCs w:val="24"/>
        </w:rPr>
        <w:t xml:space="preserve">some important </w:t>
      </w:r>
      <w:r w:rsidR="000749CC">
        <w:rPr>
          <w:rFonts w:cs="Times New Roman"/>
          <w:sz w:val="24"/>
          <w:szCs w:val="24"/>
        </w:rPr>
        <w:t xml:space="preserve">changes </w:t>
      </w:r>
      <w:r w:rsidR="00803B18">
        <w:rPr>
          <w:rFonts w:cs="Times New Roman"/>
          <w:sz w:val="24"/>
          <w:szCs w:val="24"/>
        </w:rPr>
        <w:t xml:space="preserve">to PPP covered loans that should make it much easier for small businesses to have a substantial part of their covered loans </w:t>
      </w:r>
      <w:r w:rsidR="000749CC">
        <w:rPr>
          <w:rFonts w:cs="Times New Roman"/>
          <w:sz w:val="24"/>
          <w:szCs w:val="24"/>
        </w:rPr>
        <w:t xml:space="preserve">forgiven.  The most important such change is that the requirement that 75% of the loan forgiveness amount must be attributable to payroll costs has been </w:t>
      </w:r>
      <w:r w:rsidR="006C2DE2">
        <w:rPr>
          <w:rFonts w:cs="Times New Roman"/>
          <w:sz w:val="24"/>
          <w:szCs w:val="24"/>
        </w:rPr>
        <w:t xml:space="preserve">amended.  </w:t>
      </w:r>
      <w:r w:rsidR="00850129">
        <w:rPr>
          <w:rFonts w:cs="Times New Roman"/>
          <w:sz w:val="24"/>
          <w:szCs w:val="24"/>
        </w:rPr>
        <w:t>Henceforth, an eligible small business recipient (borrower) is only required to use 60% of the covered loan for payroll costs to receive loan forgiveness.  PPPF Act section 3(b)</w:t>
      </w:r>
      <w:r w:rsidR="00DA34A3">
        <w:rPr>
          <w:rFonts w:cs="Times New Roman"/>
          <w:sz w:val="24"/>
          <w:szCs w:val="24"/>
        </w:rPr>
        <w:t>(2)</w:t>
      </w:r>
      <w:r w:rsidR="000103DC">
        <w:rPr>
          <w:rFonts w:cs="Times New Roman"/>
          <w:sz w:val="24"/>
          <w:szCs w:val="24"/>
        </w:rPr>
        <w:t xml:space="preserve">; new </w:t>
      </w:r>
      <w:r w:rsidR="00850129">
        <w:rPr>
          <w:rFonts w:cs="Times New Roman"/>
          <w:sz w:val="24"/>
          <w:szCs w:val="24"/>
        </w:rPr>
        <w:t xml:space="preserve">section 1106(d)(8) </w:t>
      </w:r>
      <w:r w:rsidR="000103DC">
        <w:rPr>
          <w:rFonts w:cs="Times New Roman"/>
          <w:sz w:val="24"/>
          <w:szCs w:val="24"/>
        </w:rPr>
        <w:t xml:space="preserve">of </w:t>
      </w:r>
      <w:r w:rsidR="00850129">
        <w:rPr>
          <w:rFonts w:cs="Times New Roman"/>
          <w:sz w:val="24"/>
          <w:szCs w:val="24"/>
        </w:rPr>
        <w:t xml:space="preserve">the CARES Act.  </w:t>
      </w:r>
      <w:r w:rsidR="0090185A">
        <w:rPr>
          <w:rFonts w:cs="Times New Roman"/>
          <w:sz w:val="24"/>
          <w:szCs w:val="24"/>
        </w:rPr>
        <w:t>This important ameliorative change allows small businesses to spend more on overhead and fixed expenses such as utilities</w:t>
      </w:r>
      <w:r w:rsidR="006C2DE2">
        <w:rPr>
          <w:rFonts w:cs="Times New Roman"/>
          <w:sz w:val="24"/>
          <w:szCs w:val="24"/>
        </w:rPr>
        <w:t xml:space="preserve"> and still receive loan forgiveness.</w:t>
      </w:r>
      <w:r w:rsidR="0090185A">
        <w:rPr>
          <w:rFonts w:cs="Times New Roman"/>
          <w:sz w:val="24"/>
          <w:szCs w:val="24"/>
        </w:rPr>
        <w:t xml:space="preserve"> </w:t>
      </w:r>
    </w:p>
    <w:p w14:paraId="59917FF8" w14:textId="4742D36D" w:rsidR="002412CC" w:rsidRDefault="008C117C" w:rsidP="006C2DE2">
      <w:pPr>
        <w:pStyle w:val="Text"/>
        <w:ind w:firstLine="720"/>
        <w:rPr>
          <w:rFonts w:cs="Times New Roman"/>
          <w:sz w:val="24"/>
          <w:szCs w:val="24"/>
        </w:rPr>
      </w:pPr>
      <w:r>
        <w:rPr>
          <w:rFonts w:cs="Times New Roman"/>
          <w:sz w:val="24"/>
          <w:szCs w:val="24"/>
        </w:rPr>
        <w:t>Although Congress reduced the payroll costs requirement from 75</w:t>
      </w:r>
      <w:r w:rsidR="0090185A">
        <w:rPr>
          <w:rFonts w:cs="Times New Roman"/>
          <w:sz w:val="24"/>
          <w:szCs w:val="24"/>
        </w:rPr>
        <w:t>%</w:t>
      </w:r>
      <w:r>
        <w:rPr>
          <w:rFonts w:cs="Times New Roman"/>
          <w:sz w:val="24"/>
          <w:szCs w:val="24"/>
        </w:rPr>
        <w:t xml:space="preserve"> to 60%, </w:t>
      </w:r>
      <w:r w:rsidR="008477D2">
        <w:rPr>
          <w:rFonts w:cs="Times New Roman"/>
          <w:sz w:val="24"/>
          <w:szCs w:val="24"/>
        </w:rPr>
        <w:t xml:space="preserve">the provision </w:t>
      </w:r>
      <w:r>
        <w:rPr>
          <w:rFonts w:cs="Times New Roman"/>
          <w:sz w:val="24"/>
          <w:szCs w:val="24"/>
        </w:rPr>
        <w:t>is now a cliff.  If a borrower does not spend at least 60% of the PPP covered loan on payroll cos</w:t>
      </w:r>
      <w:r w:rsidR="0090185A">
        <w:rPr>
          <w:rFonts w:cs="Times New Roman"/>
          <w:sz w:val="24"/>
          <w:szCs w:val="24"/>
        </w:rPr>
        <w:t>t</w:t>
      </w:r>
      <w:r>
        <w:rPr>
          <w:rFonts w:cs="Times New Roman"/>
          <w:sz w:val="24"/>
          <w:szCs w:val="24"/>
        </w:rPr>
        <w:t xml:space="preserve">s, </w:t>
      </w:r>
      <w:r w:rsidRPr="0090185A">
        <w:rPr>
          <w:rFonts w:cs="Times New Roman"/>
          <w:b/>
          <w:bCs/>
          <w:i/>
          <w:iCs/>
          <w:sz w:val="24"/>
          <w:szCs w:val="24"/>
        </w:rPr>
        <w:t>none</w:t>
      </w:r>
      <w:r>
        <w:rPr>
          <w:rFonts w:cs="Times New Roman"/>
          <w:sz w:val="24"/>
          <w:szCs w:val="24"/>
        </w:rPr>
        <w:t xml:space="preserve"> of the </w:t>
      </w:r>
      <w:r w:rsidR="0090185A">
        <w:rPr>
          <w:rFonts w:cs="Times New Roman"/>
          <w:sz w:val="24"/>
          <w:szCs w:val="24"/>
        </w:rPr>
        <w:t xml:space="preserve">covered </w:t>
      </w:r>
      <w:r>
        <w:rPr>
          <w:rFonts w:cs="Times New Roman"/>
          <w:sz w:val="24"/>
          <w:szCs w:val="24"/>
        </w:rPr>
        <w:t xml:space="preserve">loan can be forgiven.  Under pre-existing </w:t>
      </w:r>
      <w:r w:rsidR="0086773A">
        <w:rPr>
          <w:rFonts w:cs="Times New Roman"/>
          <w:sz w:val="24"/>
          <w:szCs w:val="24"/>
        </w:rPr>
        <w:t xml:space="preserve">rules, a borrower </w:t>
      </w:r>
      <w:r w:rsidR="0013143F">
        <w:rPr>
          <w:rFonts w:cs="Times New Roman"/>
          <w:sz w:val="24"/>
          <w:szCs w:val="24"/>
        </w:rPr>
        <w:t xml:space="preserve">was required to </w:t>
      </w:r>
      <w:r w:rsidR="0086773A">
        <w:rPr>
          <w:rFonts w:cs="Times New Roman"/>
          <w:sz w:val="24"/>
          <w:szCs w:val="24"/>
        </w:rPr>
        <w:t>reduce the loan amount eligible for forgiveness if the small business use</w:t>
      </w:r>
      <w:r w:rsidR="0013143F">
        <w:rPr>
          <w:rFonts w:cs="Times New Roman"/>
          <w:sz w:val="24"/>
          <w:szCs w:val="24"/>
        </w:rPr>
        <w:t>d</w:t>
      </w:r>
      <w:r w:rsidR="0086773A">
        <w:rPr>
          <w:rFonts w:cs="Times New Roman"/>
          <w:sz w:val="24"/>
          <w:szCs w:val="24"/>
        </w:rPr>
        <w:t xml:space="preserve"> less than 75% of the loan amount on payroll costs, but partial loan forgiveness was still available even if the small business d</w:t>
      </w:r>
      <w:r w:rsidR="0013143F">
        <w:rPr>
          <w:rFonts w:cs="Times New Roman"/>
          <w:sz w:val="24"/>
          <w:szCs w:val="24"/>
        </w:rPr>
        <w:t>id</w:t>
      </w:r>
      <w:r w:rsidR="0086773A">
        <w:rPr>
          <w:rFonts w:cs="Times New Roman"/>
          <w:sz w:val="24"/>
          <w:szCs w:val="24"/>
        </w:rPr>
        <w:t xml:space="preserve"> not meet the 75% threshold.  Rep. Chip Roy (R-TX), who co-sponsored the PPPF Act in the House, and Senators Marco Rubio </w:t>
      </w:r>
      <w:r w:rsidR="006C2DE2">
        <w:rPr>
          <w:rFonts w:cs="Times New Roman"/>
          <w:sz w:val="24"/>
          <w:szCs w:val="24"/>
        </w:rPr>
        <w:t xml:space="preserve">(R-FL) </w:t>
      </w:r>
      <w:r w:rsidR="0086773A">
        <w:rPr>
          <w:rFonts w:cs="Times New Roman"/>
          <w:sz w:val="24"/>
          <w:szCs w:val="24"/>
        </w:rPr>
        <w:t xml:space="preserve">and Susan Collins </w:t>
      </w:r>
      <w:r w:rsidR="006C2DE2">
        <w:rPr>
          <w:rFonts w:cs="Times New Roman"/>
          <w:sz w:val="24"/>
          <w:szCs w:val="24"/>
        </w:rPr>
        <w:t xml:space="preserve">(R-ME) </w:t>
      </w:r>
      <w:r w:rsidR="0086773A">
        <w:rPr>
          <w:rFonts w:cs="Times New Roman"/>
          <w:sz w:val="24"/>
          <w:szCs w:val="24"/>
        </w:rPr>
        <w:t xml:space="preserve">have stated that Congress had intended the sliding scale for loan forgiveness to remain in effect at 60%, and they have indicated that Congress would </w:t>
      </w:r>
      <w:r w:rsidR="00D82B99">
        <w:rPr>
          <w:rFonts w:cs="Times New Roman"/>
          <w:sz w:val="24"/>
          <w:szCs w:val="24"/>
        </w:rPr>
        <w:t xml:space="preserve">seek to </w:t>
      </w:r>
      <w:r w:rsidR="0086773A">
        <w:rPr>
          <w:rFonts w:cs="Times New Roman"/>
          <w:sz w:val="24"/>
          <w:szCs w:val="24"/>
        </w:rPr>
        <w:t xml:space="preserve">pass a technical corrections bill to correct this drafting error.  </w:t>
      </w:r>
    </w:p>
    <w:p w14:paraId="5D0530BC" w14:textId="2EC9ABE2" w:rsidR="00F1760D" w:rsidRPr="00270DDD" w:rsidRDefault="002A3F1F" w:rsidP="00F1760D">
      <w:pPr>
        <w:pStyle w:val="Text"/>
        <w:ind w:firstLine="720"/>
        <w:rPr>
          <w:rFonts w:cs="Times New Roman"/>
          <w:sz w:val="24"/>
          <w:szCs w:val="24"/>
        </w:rPr>
      </w:pPr>
      <w:r>
        <w:rPr>
          <w:rFonts w:cs="Times New Roman"/>
          <w:sz w:val="24"/>
          <w:szCs w:val="24"/>
        </w:rPr>
        <w:t>Under current law, t</w:t>
      </w:r>
      <w:r w:rsidRPr="006064B5">
        <w:rPr>
          <w:rFonts w:cs="Times New Roman"/>
          <w:sz w:val="24"/>
          <w:szCs w:val="24"/>
        </w:rPr>
        <w:t xml:space="preserve">he amount of the </w:t>
      </w:r>
      <w:r>
        <w:rPr>
          <w:rFonts w:cs="Times New Roman"/>
          <w:sz w:val="24"/>
          <w:szCs w:val="24"/>
        </w:rPr>
        <w:t xml:space="preserve">PPP </w:t>
      </w:r>
      <w:r w:rsidRPr="006064B5">
        <w:rPr>
          <w:rFonts w:cs="Times New Roman"/>
          <w:sz w:val="24"/>
          <w:szCs w:val="24"/>
        </w:rPr>
        <w:t>covered loan that is eligible for forgiveness is the sum of certain costs incurred and payments made during the eight weeks after the origination of the covered loan</w:t>
      </w:r>
      <w:r>
        <w:rPr>
          <w:rFonts w:cs="Times New Roman"/>
          <w:sz w:val="24"/>
          <w:szCs w:val="24"/>
        </w:rPr>
        <w:t xml:space="preserve">.  The new law permits current borrowers under the PPP to extend the eight-week period to 24 weeks if they elect to do so.  </w:t>
      </w:r>
      <w:r w:rsidR="00270DDD">
        <w:rPr>
          <w:rFonts w:cs="Times New Roman"/>
          <w:sz w:val="24"/>
          <w:szCs w:val="24"/>
        </w:rPr>
        <w:t xml:space="preserve">PPPF Act section 3(b)(3); new section 1106(l) of the CARES Act.  </w:t>
      </w:r>
      <w:r>
        <w:rPr>
          <w:rFonts w:cs="Times New Roman"/>
          <w:sz w:val="24"/>
          <w:szCs w:val="24"/>
        </w:rPr>
        <w:t xml:space="preserve">Small businesses that borrow under the PPP </w:t>
      </w:r>
      <w:r w:rsidR="00330806">
        <w:rPr>
          <w:rFonts w:cs="Times New Roman"/>
          <w:sz w:val="24"/>
          <w:szCs w:val="24"/>
        </w:rPr>
        <w:t xml:space="preserve">on or </w:t>
      </w:r>
      <w:r>
        <w:rPr>
          <w:rFonts w:cs="Times New Roman"/>
          <w:sz w:val="24"/>
          <w:szCs w:val="24"/>
        </w:rPr>
        <w:t xml:space="preserve">after the </w:t>
      </w:r>
      <w:r w:rsidR="00330806">
        <w:rPr>
          <w:rFonts w:cs="Times New Roman"/>
          <w:sz w:val="24"/>
          <w:szCs w:val="24"/>
        </w:rPr>
        <w:t xml:space="preserve">date of enactment of the </w:t>
      </w:r>
      <w:r>
        <w:rPr>
          <w:rFonts w:cs="Times New Roman"/>
          <w:sz w:val="24"/>
          <w:szCs w:val="24"/>
        </w:rPr>
        <w:t xml:space="preserve">PPPF Act </w:t>
      </w:r>
      <w:r w:rsidR="00330806">
        <w:rPr>
          <w:rFonts w:cs="Times New Roman"/>
          <w:sz w:val="24"/>
          <w:szCs w:val="24"/>
        </w:rPr>
        <w:t xml:space="preserve">(June 5, 2020) </w:t>
      </w:r>
      <w:r>
        <w:rPr>
          <w:rFonts w:cs="Times New Roman"/>
          <w:sz w:val="24"/>
          <w:szCs w:val="24"/>
        </w:rPr>
        <w:t xml:space="preserve">will have a period of 24 weeks, but the covered period must end on December 31, 2020.  </w:t>
      </w:r>
      <w:r w:rsidR="000103DC">
        <w:rPr>
          <w:rFonts w:cs="Times New Roman"/>
          <w:sz w:val="24"/>
          <w:szCs w:val="24"/>
        </w:rPr>
        <w:t xml:space="preserve">Congress extended the period to 24 weeks to allow borrowers to have most, if </w:t>
      </w:r>
      <w:r w:rsidR="001068BD">
        <w:rPr>
          <w:rFonts w:cs="Times New Roman"/>
          <w:sz w:val="24"/>
          <w:szCs w:val="24"/>
        </w:rPr>
        <w:t>not</w:t>
      </w:r>
      <w:r w:rsidR="000103DC">
        <w:rPr>
          <w:rFonts w:cs="Times New Roman"/>
          <w:sz w:val="24"/>
          <w:szCs w:val="24"/>
        </w:rPr>
        <w:t xml:space="preserve"> all, of their PPP covered loans forgiven.  PPPF Act section 3(b)</w:t>
      </w:r>
      <w:r w:rsidR="00DA34A3">
        <w:rPr>
          <w:rFonts w:cs="Times New Roman"/>
          <w:sz w:val="24"/>
          <w:szCs w:val="24"/>
        </w:rPr>
        <w:t>(1)</w:t>
      </w:r>
      <w:r w:rsidR="000103DC">
        <w:rPr>
          <w:rFonts w:cs="Times New Roman"/>
          <w:sz w:val="24"/>
          <w:szCs w:val="24"/>
        </w:rPr>
        <w:t>; amended section 1106(a)(3) of the CARES Act.</w:t>
      </w:r>
      <w:r w:rsidR="00F1760D">
        <w:rPr>
          <w:rFonts w:cs="Times New Roman"/>
          <w:sz w:val="24"/>
          <w:szCs w:val="24"/>
        </w:rPr>
        <w:t xml:space="preserve">  Small business borrowers can use the period of 24 weeks to restore their workforce to levels before COVID-19</w:t>
      </w:r>
      <w:r w:rsidR="00DA34A3">
        <w:rPr>
          <w:rFonts w:cs="Times New Roman"/>
          <w:sz w:val="24"/>
          <w:szCs w:val="24"/>
        </w:rPr>
        <w:t xml:space="preserve"> </w:t>
      </w:r>
      <w:r w:rsidR="00F1760D">
        <w:rPr>
          <w:rFonts w:cs="Times New Roman"/>
          <w:sz w:val="24"/>
          <w:szCs w:val="24"/>
        </w:rPr>
        <w:t>to achieve full loan forgiveness</w:t>
      </w:r>
      <w:r w:rsidR="003905FF">
        <w:rPr>
          <w:rFonts w:cs="Times New Roman"/>
          <w:sz w:val="24"/>
          <w:szCs w:val="24"/>
        </w:rPr>
        <w:t xml:space="preserve">.  </w:t>
      </w:r>
      <w:r w:rsidR="00F1760D">
        <w:rPr>
          <w:rFonts w:cs="Times New Roman"/>
          <w:sz w:val="24"/>
          <w:szCs w:val="24"/>
        </w:rPr>
        <w:t xml:space="preserve">The period for doing so has been extended from June 30 to December 31, 2020.  </w:t>
      </w:r>
      <w:r w:rsidR="00DA34A3">
        <w:rPr>
          <w:rFonts w:cs="Times New Roman"/>
          <w:sz w:val="24"/>
          <w:szCs w:val="24"/>
        </w:rPr>
        <w:t xml:space="preserve">PPPF Act section 3(b)(2); amended section 1106(d)(5)(B) of the CARES Act. </w:t>
      </w:r>
      <w:r w:rsidR="00DA34A3" w:rsidRPr="00270DDD">
        <w:rPr>
          <w:rFonts w:cs="Times New Roman"/>
          <w:sz w:val="24"/>
          <w:szCs w:val="24"/>
        </w:rPr>
        <w:t xml:space="preserve"> </w:t>
      </w:r>
    </w:p>
    <w:p w14:paraId="5AF98175" w14:textId="7A97672D" w:rsidR="003905FF" w:rsidRDefault="00DA34A3" w:rsidP="00270DDD">
      <w:pPr>
        <w:pStyle w:val="Text"/>
        <w:ind w:firstLine="720"/>
        <w:rPr>
          <w:rFonts w:cs="Times New Roman"/>
          <w:sz w:val="24"/>
          <w:szCs w:val="24"/>
        </w:rPr>
      </w:pPr>
      <w:r w:rsidRPr="00270DDD">
        <w:rPr>
          <w:rFonts w:cs="Times New Roman"/>
          <w:sz w:val="24"/>
          <w:szCs w:val="24"/>
        </w:rPr>
        <w:t xml:space="preserve">The PPPF Act has two new provisions that would assist borrowers in having the full amount of their PPP covered loan forgiven even if they are unable to rehire their </w:t>
      </w:r>
      <w:r w:rsidR="00916853" w:rsidRPr="00270DDD">
        <w:rPr>
          <w:rFonts w:cs="Times New Roman"/>
          <w:sz w:val="24"/>
          <w:szCs w:val="24"/>
        </w:rPr>
        <w:t>pre-existing workforce.  Under current law, the small business is permitted to exclude employees who turned down a bona fide, good faith effort to be rehired at the same hours and wages as before COVID-19</w:t>
      </w:r>
      <w:r w:rsidR="003905FF" w:rsidRPr="00270DDD">
        <w:rPr>
          <w:rFonts w:cs="Times New Roman"/>
          <w:sz w:val="24"/>
          <w:szCs w:val="24"/>
          <w:shd w:val="clear" w:color="auto" w:fill="FFFFFF"/>
        </w:rPr>
        <w:t>.</w:t>
      </w:r>
      <w:r w:rsidR="00916853" w:rsidRPr="00270DDD">
        <w:rPr>
          <w:rFonts w:cs="Times New Roman"/>
          <w:sz w:val="24"/>
          <w:szCs w:val="24"/>
        </w:rPr>
        <w:t xml:space="preserve">  The new PPPF Act </w:t>
      </w:r>
      <w:r w:rsidR="002A5C57" w:rsidRPr="00270DDD">
        <w:rPr>
          <w:rFonts w:cs="Times New Roman"/>
          <w:sz w:val="24"/>
          <w:szCs w:val="24"/>
        </w:rPr>
        <w:t xml:space="preserve">clarifies that the loan forgiveness amount will </w:t>
      </w:r>
      <w:r w:rsidR="002A5C57" w:rsidRPr="00130373">
        <w:rPr>
          <w:rFonts w:cs="Times New Roman"/>
          <w:b/>
          <w:bCs/>
          <w:i/>
          <w:iCs/>
          <w:sz w:val="24"/>
          <w:szCs w:val="24"/>
        </w:rPr>
        <w:t>not</w:t>
      </w:r>
      <w:r w:rsidR="002A5C57" w:rsidRPr="00270DDD">
        <w:rPr>
          <w:rFonts w:cs="Times New Roman"/>
          <w:sz w:val="24"/>
          <w:szCs w:val="24"/>
        </w:rPr>
        <w:t xml:space="preserve"> be reduced </w:t>
      </w:r>
      <w:r w:rsidR="00270DDD" w:rsidRPr="00270DDD">
        <w:rPr>
          <w:rFonts w:cs="Times New Roman"/>
          <w:sz w:val="24"/>
          <w:szCs w:val="24"/>
        </w:rPr>
        <w:t xml:space="preserve">if the small business borrower </w:t>
      </w:r>
      <w:r w:rsidR="00270DDD" w:rsidRPr="00130373">
        <w:rPr>
          <w:rFonts w:cs="Times New Roman"/>
          <w:b/>
          <w:bCs/>
          <w:i/>
          <w:iCs/>
          <w:sz w:val="24"/>
          <w:szCs w:val="24"/>
        </w:rPr>
        <w:t>can document</w:t>
      </w:r>
      <w:r w:rsidR="00270DDD" w:rsidRPr="00270DDD">
        <w:rPr>
          <w:rFonts w:cs="Times New Roman"/>
          <w:sz w:val="24"/>
          <w:szCs w:val="24"/>
        </w:rPr>
        <w:t xml:space="preserve"> </w:t>
      </w:r>
      <w:r w:rsidR="005F21D2">
        <w:rPr>
          <w:rFonts w:cs="Times New Roman"/>
          <w:sz w:val="24"/>
          <w:szCs w:val="24"/>
        </w:rPr>
        <w:t xml:space="preserve">in good faith </w:t>
      </w:r>
      <w:r w:rsidR="00270DDD" w:rsidRPr="00270DDD">
        <w:rPr>
          <w:rFonts w:cs="Times New Roman"/>
          <w:sz w:val="24"/>
          <w:szCs w:val="24"/>
        </w:rPr>
        <w:t xml:space="preserve">that it is unable </w:t>
      </w:r>
      <w:r w:rsidR="00130373">
        <w:rPr>
          <w:rFonts w:cs="Times New Roman"/>
          <w:sz w:val="24"/>
          <w:szCs w:val="24"/>
        </w:rPr>
        <w:t xml:space="preserve">(i) </w:t>
      </w:r>
      <w:r w:rsidR="00270DDD" w:rsidRPr="00270DDD">
        <w:rPr>
          <w:rFonts w:cs="Times New Roman"/>
          <w:sz w:val="24"/>
          <w:szCs w:val="24"/>
        </w:rPr>
        <w:t>to</w:t>
      </w:r>
      <w:r w:rsidR="002A5C57" w:rsidRPr="00270DDD">
        <w:rPr>
          <w:rFonts w:cs="Times New Roman"/>
          <w:sz w:val="24"/>
          <w:szCs w:val="24"/>
        </w:rPr>
        <w:t xml:space="preserve"> rehire those it had employed on February 15, 2020 or </w:t>
      </w:r>
      <w:r w:rsidR="00130373">
        <w:rPr>
          <w:rFonts w:cs="Times New Roman"/>
          <w:sz w:val="24"/>
          <w:szCs w:val="24"/>
        </w:rPr>
        <w:t xml:space="preserve">(ii) </w:t>
      </w:r>
      <w:r w:rsidR="00916853" w:rsidRPr="00270DDD">
        <w:rPr>
          <w:rFonts w:cs="Times New Roman"/>
          <w:sz w:val="24"/>
          <w:szCs w:val="24"/>
        </w:rPr>
        <w:t xml:space="preserve">to find </w:t>
      </w:r>
      <w:r w:rsidR="002A5C57" w:rsidRPr="00270DDD">
        <w:rPr>
          <w:rFonts w:cs="Times New Roman"/>
          <w:sz w:val="24"/>
          <w:szCs w:val="24"/>
        </w:rPr>
        <w:lastRenderedPageBreak/>
        <w:t xml:space="preserve">similarly </w:t>
      </w:r>
      <w:r w:rsidR="00916853" w:rsidRPr="00270DDD">
        <w:rPr>
          <w:rFonts w:cs="Times New Roman"/>
          <w:sz w:val="24"/>
          <w:szCs w:val="24"/>
        </w:rPr>
        <w:t xml:space="preserve">qualified employees </w:t>
      </w:r>
      <w:r w:rsidR="002A5C57" w:rsidRPr="00270DDD">
        <w:rPr>
          <w:rFonts w:cs="Times New Roman"/>
          <w:sz w:val="24"/>
          <w:szCs w:val="24"/>
        </w:rPr>
        <w:t xml:space="preserve">by December 31, 2020.  </w:t>
      </w:r>
      <w:r w:rsidR="00270DDD" w:rsidRPr="00270DDD">
        <w:rPr>
          <w:rFonts w:cs="Times New Roman"/>
          <w:sz w:val="24"/>
          <w:szCs w:val="24"/>
        </w:rPr>
        <w:t>In addition, the loan forgiveness amount will not be reduced</w:t>
      </w:r>
      <w:r w:rsidR="005F21D2">
        <w:rPr>
          <w:rFonts w:cs="Times New Roman"/>
          <w:sz w:val="24"/>
          <w:szCs w:val="24"/>
        </w:rPr>
        <w:t xml:space="preserve"> for failure to maintain employment levels </w:t>
      </w:r>
      <w:r w:rsidR="00916853" w:rsidRPr="00270DDD">
        <w:rPr>
          <w:rFonts w:cs="Times New Roman"/>
          <w:sz w:val="24"/>
          <w:szCs w:val="24"/>
        </w:rPr>
        <w:t>if the</w:t>
      </w:r>
      <w:r w:rsidR="00270DDD" w:rsidRPr="00270DDD">
        <w:rPr>
          <w:rFonts w:cs="Times New Roman"/>
          <w:sz w:val="24"/>
          <w:szCs w:val="24"/>
        </w:rPr>
        <w:t xml:space="preserve"> borrower </w:t>
      </w:r>
      <w:r w:rsidR="00130373">
        <w:rPr>
          <w:rFonts w:cs="Times New Roman"/>
          <w:sz w:val="24"/>
          <w:szCs w:val="24"/>
        </w:rPr>
        <w:t xml:space="preserve">can document </w:t>
      </w:r>
      <w:r w:rsidR="005F21D2">
        <w:rPr>
          <w:rFonts w:cs="Times New Roman"/>
          <w:sz w:val="24"/>
          <w:szCs w:val="24"/>
        </w:rPr>
        <w:t xml:space="preserve">in good faith </w:t>
      </w:r>
      <w:r w:rsidR="00130373">
        <w:rPr>
          <w:rFonts w:cs="Times New Roman"/>
          <w:sz w:val="24"/>
          <w:szCs w:val="24"/>
        </w:rPr>
        <w:t xml:space="preserve">that it </w:t>
      </w:r>
      <w:r w:rsidR="00270DDD" w:rsidRPr="00270DDD">
        <w:rPr>
          <w:rFonts w:cs="Times New Roman"/>
          <w:sz w:val="24"/>
          <w:szCs w:val="24"/>
        </w:rPr>
        <w:t>is</w:t>
      </w:r>
      <w:r w:rsidR="00916853" w:rsidRPr="00270DDD">
        <w:rPr>
          <w:rFonts w:cs="Times New Roman"/>
          <w:sz w:val="24"/>
          <w:szCs w:val="24"/>
        </w:rPr>
        <w:t xml:space="preserve"> unable to restore </w:t>
      </w:r>
      <w:r w:rsidR="00270DDD" w:rsidRPr="00270DDD">
        <w:rPr>
          <w:rFonts w:cs="Times New Roman"/>
          <w:sz w:val="24"/>
          <w:szCs w:val="24"/>
        </w:rPr>
        <w:t xml:space="preserve">its </w:t>
      </w:r>
      <w:r w:rsidR="00916853" w:rsidRPr="00270DDD">
        <w:rPr>
          <w:rFonts w:cs="Times New Roman"/>
          <w:sz w:val="24"/>
          <w:szCs w:val="24"/>
        </w:rPr>
        <w:t>business operations to</w:t>
      </w:r>
      <w:r w:rsidR="002A5C57" w:rsidRPr="00270DDD">
        <w:rPr>
          <w:rFonts w:cs="Times New Roman"/>
          <w:sz w:val="24"/>
          <w:szCs w:val="24"/>
        </w:rPr>
        <w:t xml:space="preserve"> </w:t>
      </w:r>
      <w:r w:rsidR="00916853" w:rsidRPr="00270DDD">
        <w:rPr>
          <w:rFonts w:cs="Times New Roman"/>
          <w:sz w:val="24"/>
          <w:szCs w:val="24"/>
        </w:rPr>
        <w:t>the levels of February 15, 2020</w:t>
      </w:r>
      <w:r w:rsidR="003905FF" w:rsidRPr="00270DDD">
        <w:rPr>
          <w:rFonts w:cs="Times New Roman"/>
          <w:sz w:val="24"/>
          <w:szCs w:val="24"/>
        </w:rPr>
        <w:t xml:space="preserve"> due to </w:t>
      </w:r>
      <w:r w:rsidR="003905FF" w:rsidRPr="00270DDD">
        <w:rPr>
          <w:rFonts w:cs="Times New Roman"/>
          <w:sz w:val="24"/>
          <w:szCs w:val="24"/>
          <w:shd w:val="clear" w:color="auto" w:fill="FFFFFF"/>
        </w:rPr>
        <w:t>compliance with requirements established or guidance issued by the Secretary of Health and Human Services, the Director of the Centers for Disease Control and Prevention, or the Occupational Safety and Health Administration during the period beginning on March 1, 2020, and ending December 31, 2020, related to the maintenance of standards for sanitation, social distancing, or any other worker or customer safety requirement related to COVID–19</w:t>
      </w:r>
      <w:r w:rsidR="00916853" w:rsidRPr="00270DDD">
        <w:rPr>
          <w:rFonts w:cs="Times New Roman"/>
          <w:sz w:val="24"/>
          <w:szCs w:val="24"/>
        </w:rPr>
        <w:t xml:space="preserve">. </w:t>
      </w:r>
      <w:r w:rsidR="003905FF" w:rsidRPr="00270DDD">
        <w:rPr>
          <w:rFonts w:cs="Times New Roman"/>
          <w:sz w:val="24"/>
          <w:szCs w:val="24"/>
        </w:rPr>
        <w:t xml:space="preserve"> </w:t>
      </w:r>
      <w:r w:rsidR="00916853" w:rsidRPr="00270DDD">
        <w:rPr>
          <w:rFonts w:cs="Times New Roman"/>
          <w:sz w:val="24"/>
          <w:szCs w:val="24"/>
        </w:rPr>
        <w:t xml:space="preserve">In </w:t>
      </w:r>
      <w:r w:rsidR="00270DDD" w:rsidRPr="00270DDD">
        <w:rPr>
          <w:rFonts w:cs="Times New Roman"/>
          <w:sz w:val="24"/>
          <w:szCs w:val="24"/>
        </w:rPr>
        <w:t xml:space="preserve">all these </w:t>
      </w:r>
      <w:r w:rsidR="00916853" w:rsidRPr="00270DDD">
        <w:rPr>
          <w:rFonts w:cs="Times New Roman"/>
          <w:sz w:val="24"/>
          <w:szCs w:val="24"/>
        </w:rPr>
        <w:t xml:space="preserve">circumstances, </w:t>
      </w:r>
      <w:r w:rsidR="00270DDD" w:rsidRPr="00270DDD">
        <w:rPr>
          <w:rFonts w:cs="Times New Roman"/>
          <w:sz w:val="24"/>
          <w:szCs w:val="24"/>
        </w:rPr>
        <w:t xml:space="preserve">the </w:t>
      </w:r>
      <w:r w:rsidR="00916853" w:rsidRPr="00270DDD">
        <w:rPr>
          <w:rFonts w:cs="Times New Roman"/>
          <w:sz w:val="24"/>
          <w:szCs w:val="24"/>
        </w:rPr>
        <w:t xml:space="preserve">loan forgiveness </w:t>
      </w:r>
      <w:r w:rsidR="00270DDD" w:rsidRPr="00270DDD">
        <w:rPr>
          <w:rFonts w:cs="Times New Roman"/>
          <w:sz w:val="24"/>
          <w:szCs w:val="24"/>
        </w:rPr>
        <w:t xml:space="preserve">amount of the small business borrower </w:t>
      </w:r>
      <w:r w:rsidR="00916853" w:rsidRPr="00270DDD">
        <w:rPr>
          <w:rFonts w:cs="Times New Roman"/>
          <w:sz w:val="24"/>
          <w:szCs w:val="24"/>
        </w:rPr>
        <w:t xml:space="preserve">shall be determined </w:t>
      </w:r>
      <w:r w:rsidR="00916853" w:rsidRPr="005F21D2">
        <w:rPr>
          <w:rFonts w:cs="Times New Roman"/>
          <w:b/>
          <w:bCs/>
          <w:i/>
          <w:iCs/>
          <w:sz w:val="24"/>
          <w:szCs w:val="24"/>
        </w:rPr>
        <w:t>without regard to proportional reduction</w:t>
      </w:r>
      <w:r w:rsidR="00916853" w:rsidRPr="00270DDD">
        <w:rPr>
          <w:rFonts w:cs="Times New Roman"/>
          <w:sz w:val="24"/>
          <w:szCs w:val="24"/>
        </w:rPr>
        <w:t xml:space="preserve"> in the number of full-time equivalent employees.  PPPF Act section 3(b)(2); new section 1106(d)(7) of the CARES Act.  </w:t>
      </w:r>
    </w:p>
    <w:p w14:paraId="41F4CE5C" w14:textId="77777777" w:rsidR="00664DC7" w:rsidRDefault="00330806" w:rsidP="000103DC">
      <w:pPr>
        <w:pStyle w:val="Text"/>
        <w:ind w:firstLine="720"/>
        <w:rPr>
          <w:rFonts w:cs="Times New Roman"/>
          <w:sz w:val="24"/>
          <w:szCs w:val="24"/>
        </w:rPr>
      </w:pPr>
      <w:r>
        <w:rPr>
          <w:rFonts w:cs="Times New Roman"/>
          <w:sz w:val="24"/>
          <w:szCs w:val="24"/>
        </w:rPr>
        <w:t>The PPPF Act extends the period borrowers may defer principal and interest payments on any portion of the PPP loan that is not forgiven from six months to the time that the SBA compensates the lender for the forgiven amount of the loan, except that the borrower may be required to begin repayment if it has not applied for loan forgiven</w:t>
      </w:r>
      <w:r w:rsidR="00664DC7">
        <w:rPr>
          <w:rFonts w:cs="Times New Roman"/>
          <w:sz w:val="24"/>
          <w:szCs w:val="24"/>
        </w:rPr>
        <w:t>e</w:t>
      </w:r>
      <w:r>
        <w:rPr>
          <w:rFonts w:cs="Times New Roman"/>
          <w:sz w:val="24"/>
          <w:szCs w:val="24"/>
        </w:rPr>
        <w:t>ss within ten months of its covered period</w:t>
      </w:r>
      <w:r>
        <w:rPr>
          <w:rFonts w:ascii="Arial" w:hAnsi="Arial" w:cs="Arial"/>
          <w:color w:val="222222"/>
          <w:spacing w:val="3"/>
          <w:sz w:val="26"/>
          <w:szCs w:val="26"/>
        </w:rPr>
        <w:t>.</w:t>
      </w:r>
      <w:r w:rsidR="00664DC7" w:rsidRPr="00270DDD">
        <w:rPr>
          <w:rFonts w:cs="Times New Roman"/>
          <w:sz w:val="24"/>
          <w:szCs w:val="24"/>
        </w:rPr>
        <w:t xml:space="preserve">  PPPF Act section 3(</w:t>
      </w:r>
      <w:r w:rsidR="00664DC7">
        <w:rPr>
          <w:rFonts w:cs="Times New Roman"/>
          <w:sz w:val="24"/>
          <w:szCs w:val="24"/>
        </w:rPr>
        <w:t xml:space="preserve">c)   </w:t>
      </w:r>
    </w:p>
    <w:p w14:paraId="704D7680" w14:textId="41334D65" w:rsidR="00DA34A3" w:rsidRDefault="00664DC7" w:rsidP="00CA5192">
      <w:pPr>
        <w:pStyle w:val="Text"/>
        <w:ind w:firstLine="720"/>
        <w:rPr>
          <w:rFonts w:cs="Times New Roman"/>
          <w:sz w:val="24"/>
          <w:szCs w:val="24"/>
        </w:rPr>
      </w:pPr>
      <w:r>
        <w:rPr>
          <w:rFonts w:cs="Times New Roman"/>
          <w:sz w:val="24"/>
          <w:szCs w:val="24"/>
        </w:rPr>
        <w:t xml:space="preserve">The PPPF Act extends the minimum maturity term </w:t>
      </w:r>
      <w:r w:rsidR="00086CD0">
        <w:rPr>
          <w:rFonts w:cs="Times New Roman"/>
          <w:sz w:val="24"/>
          <w:szCs w:val="24"/>
        </w:rPr>
        <w:t xml:space="preserve">(repayment period) </w:t>
      </w:r>
      <w:r>
        <w:rPr>
          <w:rFonts w:cs="Times New Roman"/>
          <w:sz w:val="24"/>
          <w:szCs w:val="24"/>
        </w:rPr>
        <w:t>for PPP loans for new borrowers from two to five years.</w:t>
      </w:r>
      <w:r w:rsidRPr="00270DDD">
        <w:rPr>
          <w:rFonts w:cs="Times New Roman"/>
          <w:sz w:val="24"/>
          <w:szCs w:val="24"/>
        </w:rPr>
        <w:t xml:space="preserve">  </w:t>
      </w:r>
      <w:r>
        <w:rPr>
          <w:rFonts w:cs="Times New Roman"/>
          <w:sz w:val="24"/>
          <w:szCs w:val="24"/>
        </w:rPr>
        <w:t xml:space="preserve">Existing borrowers </w:t>
      </w:r>
      <w:r w:rsidR="00086CD0">
        <w:rPr>
          <w:rFonts w:cs="Times New Roman"/>
          <w:sz w:val="24"/>
          <w:szCs w:val="24"/>
        </w:rPr>
        <w:t xml:space="preserve">may </w:t>
      </w:r>
      <w:r>
        <w:rPr>
          <w:rFonts w:cs="Times New Roman"/>
          <w:sz w:val="24"/>
          <w:szCs w:val="24"/>
        </w:rPr>
        <w:t xml:space="preserve">apply to extend the terms of their PPP covered loans to five years also.  </w:t>
      </w:r>
      <w:r w:rsidRPr="00270DDD">
        <w:rPr>
          <w:rFonts w:cs="Times New Roman"/>
          <w:sz w:val="24"/>
          <w:szCs w:val="24"/>
        </w:rPr>
        <w:t xml:space="preserve">PPPF Act section </w:t>
      </w:r>
      <w:r>
        <w:rPr>
          <w:rFonts w:cs="Times New Roman"/>
          <w:sz w:val="24"/>
          <w:szCs w:val="24"/>
        </w:rPr>
        <w:t>2</w:t>
      </w:r>
      <w:r w:rsidRPr="00270DDD">
        <w:rPr>
          <w:rFonts w:cs="Times New Roman"/>
          <w:sz w:val="24"/>
          <w:szCs w:val="24"/>
        </w:rPr>
        <w:t>(</w:t>
      </w:r>
      <w:r>
        <w:rPr>
          <w:rFonts w:cs="Times New Roman"/>
          <w:sz w:val="24"/>
          <w:szCs w:val="24"/>
        </w:rPr>
        <w:t>a</w:t>
      </w:r>
      <w:r w:rsidRPr="00270DDD">
        <w:rPr>
          <w:rFonts w:cs="Times New Roman"/>
          <w:sz w:val="24"/>
          <w:szCs w:val="24"/>
        </w:rPr>
        <w:t>)</w:t>
      </w:r>
      <w:r>
        <w:rPr>
          <w:rFonts w:cs="Times New Roman"/>
          <w:sz w:val="24"/>
          <w:szCs w:val="24"/>
        </w:rPr>
        <w:t xml:space="preserve">.  In a departure from the CARES Act, the PPPF Act allows PPP borrowers to defer the employer’s share of </w:t>
      </w:r>
      <w:r w:rsidR="00CA5192">
        <w:rPr>
          <w:rFonts w:cs="Times New Roman"/>
          <w:sz w:val="24"/>
          <w:szCs w:val="24"/>
        </w:rPr>
        <w:t>the social security tax due through the end of 2020.  The deferred portion of the social security tax will be due in two equal lump sum payment</w:t>
      </w:r>
      <w:r w:rsidR="00086CD0">
        <w:rPr>
          <w:rFonts w:cs="Times New Roman"/>
          <w:sz w:val="24"/>
          <w:szCs w:val="24"/>
        </w:rPr>
        <w:t>s</w:t>
      </w:r>
      <w:r w:rsidR="00CA5192">
        <w:rPr>
          <w:rFonts w:cs="Times New Roman"/>
          <w:sz w:val="24"/>
          <w:szCs w:val="24"/>
        </w:rPr>
        <w:t xml:space="preserve"> in December of 2021 and 2022.  The CARES Act had previously prohibited the deferral of any social security taxes after any portion of the PPP covered loan was forgiven.</w:t>
      </w:r>
      <w:r w:rsidR="00CA5192" w:rsidRPr="00CA5192">
        <w:rPr>
          <w:rFonts w:cs="Times New Roman"/>
          <w:sz w:val="24"/>
          <w:szCs w:val="24"/>
        </w:rPr>
        <w:t xml:space="preserve"> </w:t>
      </w:r>
      <w:r w:rsidR="00CA5192">
        <w:rPr>
          <w:rFonts w:cs="Times New Roman"/>
          <w:sz w:val="24"/>
          <w:szCs w:val="24"/>
        </w:rPr>
        <w:t xml:space="preserve"> </w:t>
      </w:r>
      <w:r w:rsidR="00CA5192" w:rsidRPr="00270DDD">
        <w:rPr>
          <w:rFonts w:cs="Times New Roman"/>
          <w:sz w:val="24"/>
          <w:szCs w:val="24"/>
        </w:rPr>
        <w:t xml:space="preserve">PPPF Act section </w:t>
      </w:r>
      <w:r w:rsidR="00CA5192">
        <w:rPr>
          <w:rFonts w:cs="Times New Roman"/>
          <w:sz w:val="24"/>
          <w:szCs w:val="24"/>
        </w:rPr>
        <w:t xml:space="preserve">4, repealing </w:t>
      </w:r>
      <w:r w:rsidR="00CA5192" w:rsidRPr="00270DDD">
        <w:rPr>
          <w:rFonts w:cs="Times New Roman"/>
          <w:sz w:val="24"/>
          <w:szCs w:val="24"/>
        </w:rPr>
        <w:t xml:space="preserve">section </w:t>
      </w:r>
      <w:r w:rsidR="00CA5192">
        <w:rPr>
          <w:rFonts w:cs="Times New Roman"/>
          <w:sz w:val="24"/>
          <w:szCs w:val="24"/>
        </w:rPr>
        <w:t xml:space="preserve">2302 </w:t>
      </w:r>
      <w:r w:rsidR="00CA5192" w:rsidRPr="00270DDD">
        <w:rPr>
          <w:rFonts w:cs="Times New Roman"/>
          <w:sz w:val="24"/>
          <w:szCs w:val="24"/>
        </w:rPr>
        <w:t>of the CARES Act</w:t>
      </w:r>
      <w:r w:rsidR="00CA5192">
        <w:rPr>
          <w:rFonts w:cs="Times New Roman"/>
          <w:sz w:val="24"/>
          <w:szCs w:val="24"/>
        </w:rPr>
        <w:t xml:space="preserve">.  </w:t>
      </w:r>
    </w:p>
    <w:p w14:paraId="682D009E" w14:textId="217DA0F1" w:rsidR="00086CD0" w:rsidRDefault="00086CD0" w:rsidP="00CA5192">
      <w:pPr>
        <w:pStyle w:val="Text"/>
        <w:ind w:firstLine="720"/>
        <w:rPr>
          <w:rFonts w:cs="Times New Roman"/>
          <w:sz w:val="24"/>
          <w:szCs w:val="24"/>
        </w:rPr>
      </w:pPr>
    </w:p>
    <w:p w14:paraId="75E9D0CF" w14:textId="77777777" w:rsidR="00086CD0" w:rsidRPr="00C36B13" w:rsidRDefault="00086CD0" w:rsidP="00086CD0">
      <w:pPr>
        <w:pStyle w:val="Text"/>
        <w:ind w:firstLine="0"/>
        <w:rPr>
          <w:rFonts w:cs="Times New Roman"/>
          <w:b/>
          <w:bCs/>
          <w:sz w:val="24"/>
          <w:szCs w:val="24"/>
          <w:u w:val="single"/>
        </w:rPr>
      </w:pPr>
      <w:r w:rsidRPr="00C36B13">
        <w:rPr>
          <w:rFonts w:cs="Times New Roman"/>
          <w:b/>
          <w:bCs/>
          <w:sz w:val="24"/>
          <w:szCs w:val="24"/>
          <w:u w:val="single"/>
        </w:rPr>
        <w:t>Conclusion</w:t>
      </w:r>
    </w:p>
    <w:p w14:paraId="25FC9601" w14:textId="58C712D5" w:rsidR="00086CD0" w:rsidRPr="00C36B13" w:rsidRDefault="00086CD0" w:rsidP="00086CD0">
      <w:pPr>
        <w:pStyle w:val="Text"/>
        <w:ind w:firstLine="720"/>
        <w:rPr>
          <w:rFonts w:cs="Times New Roman"/>
          <w:sz w:val="24"/>
          <w:szCs w:val="24"/>
        </w:rPr>
      </w:pPr>
      <w:r>
        <w:rPr>
          <w:rFonts w:cs="Times New Roman"/>
          <w:sz w:val="24"/>
          <w:szCs w:val="24"/>
        </w:rPr>
        <w:t xml:space="preserve">The CARES Act as amended by the PPPF Act is a complicated and often overwhelming piece of legislation that is 880 pages long that has made fundamental changes to the U.S. economy.  My goal in this relatively brief update is to summarize the relief to small businesses in Title I of the CARES Act and to report on the important changes made to it in the PPPF Act, as those changes </w:t>
      </w:r>
      <w:r w:rsidR="0013143F">
        <w:rPr>
          <w:rFonts w:cs="Times New Roman"/>
          <w:sz w:val="24"/>
          <w:szCs w:val="24"/>
        </w:rPr>
        <w:t xml:space="preserve">should </w:t>
      </w:r>
      <w:r>
        <w:rPr>
          <w:rFonts w:cs="Times New Roman"/>
          <w:sz w:val="24"/>
          <w:szCs w:val="24"/>
        </w:rPr>
        <w:t>help many</w:t>
      </w:r>
      <w:r w:rsidR="0013143F">
        <w:rPr>
          <w:rFonts w:cs="Times New Roman"/>
          <w:sz w:val="24"/>
          <w:szCs w:val="24"/>
        </w:rPr>
        <w:t xml:space="preserve"> small business</w:t>
      </w:r>
      <w:r>
        <w:rPr>
          <w:rFonts w:cs="Times New Roman"/>
          <w:sz w:val="24"/>
          <w:szCs w:val="24"/>
        </w:rPr>
        <w:t xml:space="preserve"> borrowers have their </w:t>
      </w:r>
      <w:r w:rsidR="0013143F">
        <w:rPr>
          <w:rFonts w:cs="Times New Roman"/>
          <w:sz w:val="24"/>
          <w:szCs w:val="24"/>
        </w:rPr>
        <w:t xml:space="preserve">PPP covered </w:t>
      </w:r>
      <w:r>
        <w:rPr>
          <w:rFonts w:cs="Times New Roman"/>
          <w:sz w:val="24"/>
          <w:szCs w:val="24"/>
        </w:rPr>
        <w:t xml:space="preserve">loans forgiven. </w:t>
      </w:r>
      <w:r w:rsidR="0013143F">
        <w:rPr>
          <w:rFonts w:cs="Times New Roman"/>
          <w:sz w:val="24"/>
          <w:szCs w:val="24"/>
        </w:rPr>
        <w:t xml:space="preserve"> </w:t>
      </w:r>
      <w:r>
        <w:rPr>
          <w:rFonts w:cs="Times New Roman"/>
          <w:sz w:val="24"/>
          <w:szCs w:val="24"/>
        </w:rPr>
        <w:t>If you have any questions about the CARES Act</w:t>
      </w:r>
      <w:r w:rsidR="0013143F">
        <w:rPr>
          <w:rFonts w:cs="Times New Roman"/>
          <w:sz w:val="24"/>
          <w:szCs w:val="24"/>
        </w:rPr>
        <w:t xml:space="preserve"> or the PPPF Act</w:t>
      </w:r>
      <w:r>
        <w:rPr>
          <w:rFonts w:cs="Times New Roman"/>
          <w:sz w:val="24"/>
          <w:szCs w:val="24"/>
        </w:rPr>
        <w:t xml:space="preserve">, you may contact me at </w:t>
      </w:r>
      <w:hyperlink r:id="rId11" w:history="1">
        <w:r w:rsidRPr="009D17A4">
          <w:rPr>
            <w:rStyle w:val="Hyperlink"/>
            <w:rFonts w:cs="Times New Roman"/>
            <w:sz w:val="24"/>
            <w:szCs w:val="24"/>
          </w:rPr>
          <w:t>gdelta@verizon.net</w:t>
        </w:r>
      </w:hyperlink>
      <w:r>
        <w:rPr>
          <w:rFonts w:cs="Times New Roman"/>
          <w:sz w:val="24"/>
          <w:szCs w:val="24"/>
        </w:rPr>
        <w:t xml:space="preserve"> or at (703)582-7040.</w:t>
      </w:r>
    </w:p>
    <w:p w14:paraId="6B93F479" w14:textId="77777777" w:rsidR="00086CD0" w:rsidRPr="00C36B13" w:rsidRDefault="00086CD0" w:rsidP="00086CD0">
      <w:pPr>
        <w:pStyle w:val="Text"/>
        <w:ind w:firstLine="0"/>
        <w:rPr>
          <w:rFonts w:cs="Times New Roman"/>
          <w:sz w:val="24"/>
          <w:szCs w:val="24"/>
        </w:rPr>
      </w:pPr>
    </w:p>
    <w:sectPr w:rsidR="00086CD0" w:rsidRPr="00C36B13" w:rsidSect="00DE2AF0">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C4A5" w14:textId="77777777" w:rsidR="00EB3EA0" w:rsidRDefault="00EB3EA0">
      <w:r>
        <w:separator/>
      </w:r>
    </w:p>
  </w:endnote>
  <w:endnote w:type="continuationSeparator" w:id="0">
    <w:p w14:paraId="7FD9490E" w14:textId="77777777" w:rsidR="00EB3EA0" w:rsidRDefault="00EB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EE7B5" w14:textId="77777777" w:rsidR="00797420" w:rsidRDefault="00797420" w:rsidP="00622F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BE112" w14:textId="77777777" w:rsidR="00797420" w:rsidRDefault="00797420" w:rsidP="00DE2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CF5B" w14:textId="77777777" w:rsidR="00797420" w:rsidRDefault="00797420" w:rsidP="00622F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C4B930" w14:textId="77777777" w:rsidR="00797420" w:rsidRDefault="00797420" w:rsidP="00DE2A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B227C" w14:textId="77777777" w:rsidR="00EB3EA0" w:rsidRDefault="00EB3EA0">
      <w:r>
        <w:separator/>
      </w:r>
    </w:p>
  </w:footnote>
  <w:footnote w:type="continuationSeparator" w:id="0">
    <w:p w14:paraId="0BCA7B09" w14:textId="77777777" w:rsidR="00EB3EA0" w:rsidRDefault="00EB3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F71"/>
    <w:multiLevelType w:val="hybridMultilevel"/>
    <w:tmpl w:val="D9A655D6"/>
    <w:lvl w:ilvl="0" w:tplc="774407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5E26E4"/>
    <w:multiLevelType w:val="multilevel"/>
    <w:tmpl w:val="E4342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C00FF"/>
    <w:multiLevelType w:val="multilevel"/>
    <w:tmpl w:val="C6C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F0CCC"/>
    <w:multiLevelType w:val="multilevel"/>
    <w:tmpl w:val="44C0D9F8"/>
    <w:lvl w:ilvl="0">
      <w:start w:val="1"/>
      <w:numFmt w:val="decimal"/>
      <w:lvlText w:val="%1."/>
      <w:lvlJc w:val="right"/>
      <w:pPr>
        <w:tabs>
          <w:tab w:val="num" w:pos="720"/>
        </w:tabs>
        <w:ind w:left="720" w:hanging="360"/>
      </w:pPr>
      <w:rPr>
        <w:rFonts w:ascii="Times New Roman" w:eastAsia="Times New Roman" w:hAnsi="Times New Roman"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D184877"/>
    <w:multiLevelType w:val="multilevel"/>
    <w:tmpl w:val="690A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F2AE9"/>
    <w:multiLevelType w:val="multilevel"/>
    <w:tmpl w:val="C8340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7543"/>
    <w:multiLevelType w:val="multilevel"/>
    <w:tmpl w:val="C53C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FD5698"/>
    <w:multiLevelType w:val="multilevel"/>
    <w:tmpl w:val="B00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D6DC4"/>
    <w:multiLevelType w:val="multilevel"/>
    <w:tmpl w:val="A3C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A270C"/>
    <w:multiLevelType w:val="multilevel"/>
    <w:tmpl w:val="636A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A20"/>
    <w:multiLevelType w:val="hybridMultilevel"/>
    <w:tmpl w:val="22B85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9C170C"/>
    <w:multiLevelType w:val="multilevel"/>
    <w:tmpl w:val="9B6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3544C"/>
    <w:multiLevelType w:val="multilevel"/>
    <w:tmpl w:val="413AA6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A1208B9"/>
    <w:multiLevelType w:val="hybridMultilevel"/>
    <w:tmpl w:val="F0660782"/>
    <w:lvl w:ilvl="0" w:tplc="E9A879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9"/>
    </w:lvlOverride>
  </w:num>
  <w:num w:numId="2">
    <w:abstractNumId w:val="10"/>
  </w:num>
  <w:num w:numId="3">
    <w:abstractNumId w:val="0"/>
  </w:num>
  <w:num w:numId="4">
    <w:abstractNumId w:val="13"/>
  </w:num>
  <w:num w:numId="5">
    <w:abstractNumId w:val="3"/>
  </w:num>
  <w:num w:numId="6">
    <w:abstractNumId w:val="12"/>
  </w:num>
  <w:num w:numId="7">
    <w:abstractNumId w:val="9"/>
  </w:num>
  <w:num w:numId="8">
    <w:abstractNumId w:val="4"/>
  </w:num>
  <w:num w:numId="9">
    <w:abstractNumId w:val="2"/>
  </w:num>
  <w:num w:numId="10">
    <w:abstractNumId w:val="6"/>
  </w:num>
  <w:num w:numId="11">
    <w:abstractNumId w:val="8"/>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83E"/>
    <w:rsid w:val="00006158"/>
    <w:rsid w:val="000103DC"/>
    <w:rsid w:val="00011D6C"/>
    <w:rsid w:val="00025556"/>
    <w:rsid w:val="00032A04"/>
    <w:rsid w:val="00037ED2"/>
    <w:rsid w:val="00043FEE"/>
    <w:rsid w:val="00056F43"/>
    <w:rsid w:val="00066365"/>
    <w:rsid w:val="000749CC"/>
    <w:rsid w:val="00076CD6"/>
    <w:rsid w:val="00077028"/>
    <w:rsid w:val="00082012"/>
    <w:rsid w:val="00082CAC"/>
    <w:rsid w:val="00086CD0"/>
    <w:rsid w:val="0009183E"/>
    <w:rsid w:val="00092649"/>
    <w:rsid w:val="000965CE"/>
    <w:rsid w:val="000A66F1"/>
    <w:rsid w:val="000A751C"/>
    <w:rsid w:val="000B3BEF"/>
    <w:rsid w:val="000B50B0"/>
    <w:rsid w:val="000B6FFE"/>
    <w:rsid w:val="000C6181"/>
    <w:rsid w:val="000C6286"/>
    <w:rsid w:val="000C70BD"/>
    <w:rsid w:val="000C7A09"/>
    <w:rsid w:val="000C7BF3"/>
    <w:rsid w:val="000D1968"/>
    <w:rsid w:val="000D787A"/>
    <w:rsid w:val="000E1026"/>
    <w:rsid w:val="000E1D45"/>
    <w:rsid w:val="000E29B1"/>
    <w:rsid w:val="000E7443"/>
    <w:rsid w:val="000E7897"/>
    <w:rsid w:val="000F35B7"/>
    <w:rsid w:val="00100870"/>
    <w:rsid w:val="001068BD"/>
    <w:rsid w:val="00107774"/>
    <w:rsid w:val="0011060C"/>
    <w:rsid w:val="00120603"/>
    <w:rsid w:val="001228BE"/>
    <w:rsid w:val="00130373"/>
    <w:rsid w:val="0013143F"/>
    <w:rsid w:val="00142141"/>
    <w:rsid w:val="00143890"/>
    <w:rsid w:val="00145AFC"/>
    <w:rsid w:val="0014796B"/>
    <w:rsid w:val="00147EA7"/>
    <w:rsid w:val="00156372"/>
    <w:rsid w:val="001644FF"/>
    <w:rsid w:val="00165BB2"/>
    <w:rsid w:val="00170BBF"/>
    <w:rsid w:val="0018357F"/>
    <w:rsid w:val="00185AA9"/>
    <w:rsid w:val="001B66D3"/>
    <w:rsid w:val="001C0641"/>
    <w:rsid w:val="001C259D"/>
    <w:rsid w:val="001C3DAA"/>
    <w:rsid w:val="001D1D21"/>
    <w:rsid w:val="001E1A8D"/>
    <w:rsid w:val="001E1D46"/>
    <w:rsid w:val="001E3F94"/>
    <w:rsid w:val="0020013D"/>
    <w:rsid w:val="00205360"/>
    <w:rsid w:val="00205C66"/>
    <w:rsid w:val="0021614A"/>
    <w:rsid w:val="0023661E"/>
    <w:rsid w:val="00237CAE"/>
    <w:rsid w:val="002412CC"/>
    <w:rsid w:val="00250125"/>
    <w:rsid w:val="002502B6"/>
    <w:rsid w:val="0025533B"/>
    <w:rsid w:val="002558A6"/>
    <w:rsid w:val="00257086"/>
    <w:rsid w:val="00263109"/>
    <w:rsid w:val="00265F83"/>
    <w:rsid w:val="00266EF4"/>
    <w:rsid w:val="00270DDD"/>
    <w:rsid w:val="00273534"/>
    <w:rsid w:val="00277175"/>
    <w:rsid w:val="00280A85"/>
    <w:rsid w:val="0028738D"/>
    <w:rsid w:val="00290733"/>
    <w:rsid w:val="00290ED4"/>
    <w:rsid w:val="002921A5"/>
    <w:rsid w:val="002950DF"/>
    <w:rsid w:val="002A3F1F"/>
    <w:rsid w:val="002A5C57"/>
    <w:rsid w:val="002B7820"/>
    <w:rsid w:val="002C1E72"/>
    <w:rsid w:val="002D0B33"/>
    <w:rsid w:val="002D2E93"/>
    <w:rsid w:val="002D394E"/>
    <w:rsid w:val="002D4DAF"/>
    <w:rsid w:val="002D4DCB"/>
    <w:rsid w:val="002D7B4D"/>
    <w:rsid w:val="002E0BBE"/>
    <w:rsid w:val="002E39AB"/>
    <w:rsid w:val="002E4F4C"/>
    <w:rsid w:val="002E7F37"/>
    <w:rsid w:val="002F172D"/>
    <w:rsid w:val="00303D59"/>
    <w:rsid w:val="0031643B"/>
    <w:rsid w:val="0032120B"/>
    <w:rsid w:val="0032383A"/>
    <w:rsid w:val="00323A8E"/>
    <w:rsid w:val="00325E6F"/>
    <w:rsid w:val="00330806"/>
    <w:rsid w:val="00331061"/>
    <w:rsid w:val="00335066"/>
    <w:rsid w:val="0033704D"/>
    <w:rsid w:val="00347887"/>
    <w:rsid w:val="003505D5"/>
    <w:rsid w:val="00351DCC"/>
    <w:rsid w:val="0035214F"/>
    <w:rsid w:val="00352155"/>
    <w:rsid w:val="003579DE"/>
    <w:rsid w:val="003603AA"/>
    <w:rsid w:val="00375F24"/>
    <w:rsid w:val="00377BF4"/>
    <w:rsid w:val="003843A3"/>
    <w:rsid w:val="0038523C"/>
    <w:rsid w:val="00385C1E"/>
    <w:rsid w:val="003905FF"/>
    <w:rsid w:val="003917D8"/>
    <w:rsid w:val="003946F2"/>
    <w:rsid w:val="003A5648"/>
    <w:rsid w:val="003A7CC1"/>
    <w:rsid w:val="003B2297"/>
    <w:rsid w:val="003B300F"/>
    <w:rsid w:val="003B35C4"/>
    <w:rsid w:val="003B3911"/>
    <w:rsid w:val="003B6F33"/>
    <w:rsid w:val="003C7116"/>
    <w:rsid w:val="003D47A8"/>
    <w:rsid w:val="003E3431"/>
    <w:rsid w:val="003E445F"/>
    <w:rsid w:val="003E673C"/>
    <w:rsid w:val="0040347C"/>
    <w:rsid w:val="00406CA2"/>
    <w:rsid w:val="0041101D"/>
    <w:rsid w:val="00420FF8"/>
    <w:rsid w:val="0042562D"/>
    <w:rsid w:val="00425C96"/>
    <w:rsid w:val="00434716"/>
    <w:rsid w:val="0043619E"/>
    <w:rsid w:val="00451932"/>
    <w:rsid w:val="00451FBE"/>
    <w:rsid w:val="00457969"/>
    <w:rsid w:val="00463C9A"/>
    <w:rsid w:val="00470A00"/>
    <w:rsid w:val="00472B45"/>
    <w:rsid w:val="00476348"/>
    <w:rsid w:val="00476EBF"/>
    <w:rsid w:val="0047728C"/>
    <w:rsid w:val="00486424"/>
    <w:rsid w:val="00487B49"/>
    <w:rsid w:val="00490345"/>
    <w:rsid w:val="0049098C"/>
    <w:rsid w:val="00492CAA"/>
    <w:rsid w:val="00495B57"/>
    <w:rsid w:val="00497493"/>
    <w:rsid w:val="004A6A51"/>
    <w:rsid w:val="004B5CCB"/>
    <w:rsid w:val="004B6ED0"/>
    <w:rsid w:val="004C368F"/>
    <w:rsid w:val="004C480F"/>
    <w:rsid w:val="004C5956"/>
    <w:rsid w:val="004C62FD"/>
    <w:rsid w:val="004C6A2B"/>
    <w:rsid w:val="004D39B2"/>
    <w:rsid w:val="004E07B1"/>
    <w:rsid w:val="004E62E5"/>
    <w:rsid w:val="004F2BF4"/>
    <w:rsid w:val="004F4B42"/>
    <w:rsid w:val="004F4FD9"/>
    <w:rsid w:val="004F6F2D"/>
    <w:rsid w:val="00502171"/>
    <w:rsid w:val="0050407D"/>
    <w:rsid w:val="005071E1"/>
    <w:rsid w:val="00514B0B"/>
    <w:rsid w:val="005224C2"/>
    <w:rsid w:val="0052728D"/>
    <w:rsid w:val="00535CA6"/>
    <w:rsid w:val="0054025A"/>
    <w:rsid w:val="0054153F"/>
    <w:rsid w:val="0054218F"/>
    <w:rsid w:val="005560DE"/>
    <w:rsid w:val="00557E05"/>
    <w:rsid w:val="005660FD"/>
    <w:rsid w:val="00573755"/>
    <w:rsid w:val="005764AA"/>
    <w:rsid w:val="00577459"/>
    <w:rsid w:val="00584626"/>
    <w:rsid w:val="00586542"/>
    <w:rsid w:val="005B78F4"/>
    <w:rsid w:val="005D4394"/>
    <w:rsid w:val="005D50DD"/>
    <w:rsid w:val="005D6E50"/>
    <w:rsid w:val="005E71EB"/>
    <w:rsid w:val="005F21D2"/>
    <w:rsid w:val="005F42FA"/>
    <w:rsid w:val="005F7B6E"/>
    <w:rsid w:val="00601704"/>
    <w:rsid w:val="00602FB6"/>
    <w:rsid w:val="006064B5"/>
    <w:rsid w:val="006068B0"/>
    <w:rsid w:val="00607362"/>
    <w:rsid w:val="006111BC"/>
    <w:rsid w:val="0061491D"/>
    <w:rsid w:val="00617E9F"/>
    <w:rsid w:val="00622F49"/>
    <w:rsid w:val="00630612"/>
    <w:rsid w:val="006307B8"/>
    <w:rsid w:val="00637721"/>
    <w:rsid w:val="0064149C"/>
    <w:rsid w:val="00660DB0"/>
    <w:rsid w:val="006642EE"/>
    <w:rsid w:val="00664DC7"/>
    <w:rsid w:val="00665A23"/>
    <w:rsid w:val="00670089"/>
    <w:rsid w:val="00670929"/>
    <w:rsid w:val="006842C5"/>
    <w:rsid w:val="006919C6"/>
    <w:rsid w:val="00692F12"/>
    <w:rsid w:val="006A05F7"/>
    <w:rsid w:val="006A62EE"/>
    <w:rsid w:val="006B2F8D"/>
    <w:rsid w:val="006B5438"/>
    <w:rsid w:val="006C2C4C"/>
    <w:rsid w:val="006C2DE2"/>
    <w:rsid w:val="006C3FBC"/>
    <w:rsid w:val="006C4994"/>
    <w:rsid w:val="006E44E8"/>
    <w:rsid w:val="006E467F"/>
    <w:rsid w:val="006F0B0C"/>
    <w:rsid w:val="0071250E"/>
    <w:rsid w:val="00716AA0"/>
    <w:rsid w:val="00720336"/>
    <w:rsid w:val="00726E85"/>
    <w:rsid w:val="00731DE3"/>
    <w:rsid w:val="00734F21"/>
    <w:rsid w:val="00735577"/>
    <w:rsid w:val="00740B51"/>
    <w:rsid w:val="00744AE3"/>
    <w:rsid w:val="00745411"/>
    <w:rsid w:val="00745FAC"/>
    <w:rsid w:val="007464AA"/>
    <w:rsid w:val="007500E9"/>
    <w:rsid w:val="007515C7"/>
    <w:rsid w:val="007630C3"/>
    <w:rsid w:val="00774149"/>
    <w:rsid w:val="00777992"/>
    <w:rsid w:val="00780CB6"/>
    <w:rsid w:val="00785E7A"/>
    <w:rsid w:val="00791DDD"/>
    <w:rsid w:val="00794E27"/>
    <w:rsid w:val="007973AB"/>
    <w:rsid w:val="00797420"/>
    <w:rsid w:val="007B5BEB"/>
    <w:rsid w:val="007C0E3F"/>
    <w:rsid w:val="007C1CF4"/>
    <w:rsid w:val="007C1D3F"/>
    <w:rsid w:val="007D225A"/>
    <w:rsid w:val="007D6C88"/>
    <w:rsid w:val="007D7D52"/>
    <w:rsid w:val="007E11BD"/>
    <w:rsid w:val="007E4841"/>
    <w:rsid w:val="0080303A"/>
    <w:rsid w:val="00803B18"/>
    <w:rsid w:val="00821436"/>
    <w:rsid w:val="00821D87"/>
    <w:rsid w:val="008322A9"/>
    <w:rsid w:val="00835C17"/>
    <w:rsid w:val="00836181"/>
    <w:rsid w:val="0084549B"/>
    <w:rsid w:val="00846856"/>
    <w:rsid w:val="008468BC"/>
    <w:rsid w:val="008477D2"/>
    <w:rsid w:val="00850129"/>
    <w:rsid w:val="00851C29"/>
    <w:rsid w:val="0085215B"/>
    <w:rsid w:val="00854940"/>
    <w:rsid w:val="008571D5"/>
    <w:rsid w:val="00862C0A"/>
    <w:rsid w:val="0086626B"/>
    <w:rsid w:val="0086773A"/>
    <w:rsid w:val="00870BC2"/>
    <w:rsid w:val="00873F5A"/>
    <w:rsid w:val="00884613"/>
    <w:rsid w:val="00893834"/>
    <w:rsid w:val="008948F6"/>
    <w:rsid w:val="00894F41"/>
    <w:rsid w:val="00896510"/>
    <w:rsid w:val="008A78D8"/>
    <w:rsid w:val="008B6A03"/>
    <w:rsid w:val="008C0708"/>
    <w:rsid w:val="008C117C"/>
    <w:rsid w:val="008D1572"/>
    <w:rsid w:val="008E732A"/>
    <w:rsid w:val="008F04A1"/>
    <w:rsid w:val="008F098C"/>
    <w:rsid w:val="008F3BB2"/>
    <w:rsid w:val="008F60C0"/>
    <w:rsid w:val="009010D9"/>
    <w:rsid w:val="0090185A"/>
    <w:rsid w:val="00904146"/>
    <w:rsid w:val="009079F0"/>
    <w:rsid w:val="00907A3B"/>
    <w:rsid w:val="009105D3"/>
    <w:rsid w:val="009109FB"/>
    <w:rsid w:val="009151DB"/>
    <w:rsid w:val="00916853"/>
    <w:rsid w:val="009241D7"/>
    <w:rsid w:val="00925E8E"/>
    <w:rsid w:val="00931AC3"/>
    <w:rsid w:val="00946B58"/>
    <w:rsid w:val="00956ECC"/>
    <w:rsid w:val="00962A82"/>
    <w:rsid w:val="00963E90"/>
    <w:rsid w:val="009731B5"/>
    <w:rsid w:val="009837B9"/>
    <w:rsid w:val="009841F1"/>
    <w:rsid w:val="0099426C"/>
    <w:rsid w:val="009959CE"/>
    <w:rsid w:val="009A2CCF"/>
    <w:rsid w:val="009A54FE"/>
    <w:rsid w:val="009A5E9C"/>
    <w:rsid w:val="009B1ED0"/>
    <w:rsid w:val="009B632E"/>
    <w:rsid w:val="009C0758"/>
    <w:rsid w:val="009C4628"/>
    <w:rsid w:val="009D2607"/>
    <w:rsid w:val="009D28AE"/>
    <w:rsid w:val="009D5ED2"/>
    <w:rsid w:val="009E2117"/>
    <w:rsid w:val="009E5797"/>
    <w:rsid w:val="009F15E5"/>
    <w:rsid w:val="009F35BC"/>
    <w:rsid w:val="009F3DF5"/>
    <w:rsid w:val="009F4F2F"/>
    <w:rsid w:val="009F5766"/>
    <w:rsid w:val="00A05715"/>
    <w:rsid w:val="00A05E51"/>
    <w:rsid w:val="00A11C37"/>
    <w:rsid w:val="00A16609"/>
    <w:rsid w:val="00A26F8C"/>
    <w:rsid w:val="00A34BC9"/>
    <w:rsid w:val="00A37679"/>
    <w:rsid w:val="00A40F8C"/>
    <w:rsid w:val="00A429C0"/>
    <w:rsid w:val="00A47382"/>
    <w:rsid w:val="00A56035"/>
    <w:rsid w:val="00A636D4"/>
    <w:rsid w:val="00A710C4"/>
    <w:rsid w:val="00A84D92"/>
    <w:rsid w:val="00A91AE2"/>
    <w:rsid w:val="00A94989"/>
    <w:rsid w:val="00A96EE7"/>
    <w:rsid w:val="00AA1A28"/>
    <w:rsid w:val="00AA6717"/>
    <w:rsid w:val="00AA6E45"/>
    <w:rsid w:val="00AB497F"/>
    <w:rsid w:val="00AC3AB3"/>
    <w:rsid w:val="00AD21BF"/>
    <w:rsid w:val="00AD6166"/>
    <w:rsid w:val="00AE7856"/>
    <w:rsid w:val="00AF10A8"/>
    <w:rsid w:val="00AF50B3"/>
    <w:rsid w:val="00AF5416"/>
    <w:rsid w:val="00AF7BD4"/>
    <w:rsid w:val="00B017F2"/>
    <w:rsid w:val="00B12024"/>
    <w:rsid w:val="00B1259D"/>
    <w:rsid w:val="00B12A16"/>
    <w:rsid w:val="00B20142"/>
    <w:rsid w:val="00B21568"/>
    <w:rsid w:val="00B21B8F"/>
    <w:rsid w:val="00B312BE"/>
    <w:rsid w:val="00B31E41"/>
    <w:rsid w:val="00B45966"/>
    <w:rsid w:val="00B51184"/>
    <w:rsid w:val="00B54682"/>
    <w:rsid w:val="00B62B0E"/>
    <w:rsid w:val="00B6409C"/>
    <w:rsid w:val="00B7074C"/>
    <w:rsid w:val="00B71623"/>
    <w:rsid w:val="00B7368E"/>
    <w:rsid w:val="00B803AE"/>
    <w:rsid w:val="00B83468"/>
    <w:rsid w:val="00B8531D"/>
    <w:rsid w:val="00B86D26"/>
    <w:rsid w:val="00B919B5"/>
    <w:rsid w:val="00BA608E"/>
    <w:rsid w:val="00BA624A"/>
    <w:rsid w:val="00BB1C87"/>
    <w:rsid w:val="00BB3CB7"/>
    <w:rsid w:val="00BB4292"/>
    <w:rsid w:val="00BC004B"/>
    <w:rsid w:val="00BC5681"/>
    <w:rsid w:val="00BD7735"/>
    <w:rsid w:val="00BD79CA"/>
    <w:rsid w:val="00BE2995"/>
    <w:rsid w:val="00BF1DEA"/>
    <w:rsid w:val="00BF258F"/>
    <w:rsid w:val="00BF3DD7"/>
    <w:rsid w:val="00BF6DC0"/>
    <w:rsid w:val="00BF7277"/>
    <w:rsid w:val="00C0015E"/>
    <w:rsid w:val="00C0040A"/>
    <w:rsid w:val="00C03FC6"/>
    <w:rsid w:val="00C049C4"/>
    <w:rsid w:val="00C075D0"/>
    <w:rsid w:val="00C20067"/>
    <w:rsid w:val="00C2255E"/>
    <w:rsid w:val="00C24582"/>
    <w:rsid w:val="00C31619"/>
    <w:rsid w:val="00C32609"/>
    <w:rsid w:val="00C358BF"/>
    <w:rsid w:val="00C36B13"/>
    <w:rsid w:val="00C4501B"/>
    <w:rsid w:val="00C45F94"/>
    <w:rsid w:val="00C561EB"/>
    <w:rsid w:val="00C57E02"/>
    <w:rsid w:val="00C63634"/>
    <w:rsid w:val="00C657BB"/>
    <w:rsid w:val="00C70A13"/>
    <w:rsid w:val="00C82C55"/>
    <w:rsid w:val="00C866CB"/>
    <w:rsid w:val="00C9251C"/>
    <w:rsid w:val="00C950D5"/>
    <w:rsid w:val="00CA02DF"/>
    <w:rsid w:val="00CA4165"/>
    <w:rsid w:val="00CA5192"/>
    <w:rsid w:val="00CA712C"/>
    <w:rsid w:val="00CB29A6"/>
    <w:rsid w:val="00CC1BC6"/>
    <w:rsid w:val="00CD3672"/>
    <w:rsid w:val="00CD5AD3"/>
    <w:rsid w:val="00CE3251"/>
    <w:rsid w:val="00CE6E84"/>
    <w:rsid w:val="00CF0D17"/>
    <w:rsid w:val="00CF3EED"/>
    <w:rsid w:val="00CF6412"/>
    <w:rsid w:val="00D069A5"/>
    <w:rsid w:val="00D37D32"/>
    <w:rsid w:val="00D473D9"/>
    <w:rsid w:val="00D56565"/>
    <w:rsid w:val="00D625D9"/>
    <w:rsid w:val="00D644F0"/>
    <w:rsid w:val="00D649DE"/>
    <w:rsid w:val="00D6671D"/>
    <w:rsid w:val="00D718D2"/>
    <w:rsid w:val="00D74835"/>
    <w:rsid w:val="00D766A5"/>
    <w:rsid w:val="00D77F9A"/>
    <w:rsid w:val="00D8058C"/>
    <w:rsid w:val="00D82B99"/>
    <w:rsid w:val="00D92BF7"/>
    <w:rsid w:val="00DA34A3"/>
    <w:rsid w:val="00DA6C55"/>
    <w:rsid w:val="00DB5CFD"/>
    <w:rsid w:val="00DC392B"/>
    <w:rsid w:val="00DC4EBE"/>
    <w:rsid w:val="00DC6E51"/>
    <w:rsid w:val="00DD48A2"/>
    <w:rsid w:val="00DE174E"/>
    <w:rsid w:val="00DE222A"/>
    <w:rsid w:val="00DE2AF0"/>
    <w:rsid w:val="00DF6E40"/>
    <w:rsid w:val="00DF7313"/>
    <w:rsid w:val="00E0366D"/>
    <w:rsid w:val="00E11029"/>
    <w:rsid w:val="00E166EF"/>
    <w:rsid w:val="00E234E0"/>
    <w:rsid w:val="00E2562D"/>
    <w:rsid w:val="00E36BCC"/>
    <w:rsid w:val="00E564F7"/>
    <w:rsid w:val="00E57F14"/>
    <w:rsid w:val="00E61DEF"/>
    <w:rsid w:val="00E71038"/>
    <w:rsid w:val="00E74E94"/>
    <w:rsid w:val="00E803DF"/>
    <w:rsid w:val="00E821C0"/>
    <w:rsid w:val="00E824A4"/>
    <w:rsid w:val="00E86E7F"/>
    <w:rsid w:val="00E91986"/>
    <w:rsid w:val="00E9580D"/>
    <w:rsid w:val="00EA0E52"/>
    <w:rsid w:val="00EA429D"/>
    <w:rsid w:val="00EB0449"/>
    <w:rsid w:val="00EB11C9"/>
    <w:rsid w:val="00EB1202"/>
    <w:rsid w:val="00EB3EA0"/>
    <w:rsid w:val="00EC3685"/>
    <w:rsid w:val="00EC798A"/>
    <w:rsid w:val="00EF3734"/>
    <w:rsid w:val="00EF5BF6"/>
    <w:rsid w:val="00EF5E4F"/>
    <w:rsid w:val="00F00038"/>
    <w:rsid w:val="00F012D4"/>
    <w:rsid w:val="00F164D8"/>
    <w:rsid w:val="00F1760D"/>
    <w:rsid w:val="00F30EEA"/>
    <w:rsid w:val="00F37C9E"/>
    <w:rsid w:val="00F41A9E"/>
    <w:rsid w:val="00F4566E"/>
    <w:rsid w:val="00F45F19"/>
    <w:rsid w:val="00F466CE"/>
    <w:rsid w:val="00F578D6"/>
    <w:rsid w:val="00F62D99"/>
    <w:rsid w:val="00F6506E"/>
    <w:rsid w:val="00F8023E"/>
    <w:rsid w:val="00F84C6F"/>
    <w:rsid w:val="00F9146C"/>
    <w:rsid w:val="00FA27B2"/>
    <w:rsid w:val="00FA36E3"/>
    <w:rsid w:val="00FA695B"/>
    <w:rsid w:val="00FB0DC4"/>
    <w:rsid w:val="00FC2F88"/>
    <w:rsid w:val="00FC3077"/>
    <w:rsid w:val="00FC5B75"/>
    <w:rsid w:val="00FC64D1"/>
    <w:rsid w:val="00FD0647"/>
    <w:rsid w:val="00FD1306"/>
    <w:rsid w:val="00FD2797"/>
    <w:rsid w:val="00FE38EC"/>
    <w:rsid w:val="00FE6608"/>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29929"/>
  <w15:chartTrackingRefBased/>
  <w15:docId w15:val="{447B106F-2AC5-4A86-A390-35585DF9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99"/>
    </w:rPr>
  </w:style>
  <w:style w:type="character" w:styleId="Strong">
    <w:name w:val="Strong"/>
    <w:uiPriority w:val="22"/>
    <w:qFormat/>
    <w:rPr>
      <w:b/>
      <w:bCs/>
    </w:rPr>
  </w:style>
  <w:style w:type="character" w:styleId="Hyperlink">
    <w:name w:val="Hyperlink"/>
    <w:uiPriority w:val="99"/>
    <w:rPr>
      <w:color w:val="0000FF"/>
      <w:u w:val="single"/>
    </w:rPr>
  </w:style>
  <w:style w:type="paragraph" w:styleId="Title">
    <w:name w:val="Title"/>
    <w:basedOn w:val="Normal"/>
    <w:qFormat/>
    <w:pPr>
      <w:autoSpaceDE w:val="0"/>
      <w:autoSpaceDN w:val="0"/>
      <w:adjustRightInd w:val="0"/>
      <w:jc w:val="center"/>
    </w:pPr>
    <w:rPr>
      <w:b/>
      <w:bCs/>
      <w:sz w:val="44"/>
      <w:szCs w:val="44"/>
    </w:rPr>
  </w:style>
  <w:style w:type="character" w:styleId="FollowedHyperlink">
    <w:name w:val="FollowedHyperlink"/>
    <w:rPr>
      <w:color w:val="800080"/>
      <w:u w:val="single"/>
    </w:rPr>
  </w:style>
  <w:style w:type="character" w:customStyle="1" w:styleId="content1">
    <w:name w:val="content1"/>
    <w:rPr>
      <w:rFonts w:ascii="Arial" w:hAnsi="Arial" w:cs="Arial" w:hint="default"/>
      <w:color w:val="000000"/>
      <w:sz w:val="17"/>
      <w:szCs w:val="17"/>
    </w:rPr>
  </w:style>
  <w:style w:type="paragraph" w:styleId="BodyTextIndent3">
    <w:name w:val="Body Text Indent 3"/>
    <w:basedOn w:val="Normal"/>
    <w:pPr>
      <w:autoSpaceDE w:val="0"/>
      <w:autoSpaceDN w:val="0"/>
      <w:adjustRightInd w:val="0"/>
      <w:spacing w:before="100" w:beforeAutospacing="1" w:after="100" w:afterAutospacing="1"/>
      <w:ind w:left="360"/>
      <w:jc w:val="both"/>
    </w:pPr>
    <w:rPr>
      <w:color w:val="000000"/>
      <w:szCs w:val="18"/>
    </w:rPr>
  </w:style>
  <w:style w:type="paragraph" w:customStyle="1" w:styleId="bodytext">
    <w:name w:val="bodytext"/>
    <w:basedOn w:val="Normal"/>
    <w:pPr>
      <w:spacing w:before="100" w:beforeAutospacing="1" w:after="100" w:afterAutospacing="1"/>
    </w:pPr>
    <w:rPr>
      <w:rFonts w:ascii="Arial" w:hAnsi="Arial" w:cs="Arial"/>
      <w:color w:val="000000"/>
      <w:sz w:val="18"/>
      <w:szCs w:val="18"/>
    </w:rPr>
  </w:style>
  <w:style w:type="paragraph" w:customStyle="1" w:styleId="BHeading4">
    <w:name w:val="BHeading4"/>
    <w:basedOn w:val="Normal"/>
    <w:pPr>
      <w:spacing w:line="240" w:lineRule="exact"/>
    </w:pPr>
    <w:rPr>
      <w:rFonts w:ascii="CG Times (WN)" w:hAnsi="CG Times (WN)"/>
      <w:sz w:val="22"/>
      <w:szCs w:val="20"/>
    </w:rPr>
  </w:style>
  <w:style w:type="character" w:customStyle="1" w:styleId="normalloose1">
    <w:name w:val="normalloose1"/>
    <w:rPr>
      <w:rFonts w:ascii="Verdana" w:hAnsi="Verdana" w:hint="default"/>
      <w:sz w:val="18"/>
      <w:szCs w:val="18"/>
    </w:rPr>
  </w:style>
  <w:style w:type="paragraph" w:styleId="BodyTextIndent">
    <w:name w:val="Body Text Indent"/>
    <w:basedOn w:val="Normal"/>
    <w:pPr>
      <w:ind w:firstLine="720"/>
      <w:jc w:val="both"/>
    </w:pPr>
  </w:style>
  <w:style w:type="paragraph" w:styleId="BodyText0">
    <w:name w:val="Body Text"/>
    <w:basedOn w:val="Normal"/>
    <w:pPr>
      <w:jc w:val="both"/>
    </w:pPr>
  </w:style>
  <w:style w:type="character" w:styleId="FootnoteReference">
    <w:name w:val="footnote reference"/>
    <w:semiHidden/>
  </w:style>
  <w:style w:type="character" w:customStyle="1" w:styleId="Hypertext">
    <w:name w:val="Hypertext"/>
    <w:rPr>
      <w:color w:val="0000FF"/>
      <w:u w:val="single"/>
    </w:rPr>
  </w:style>
  <w:style w:type="character" w:styleId="Emphasis">
    <w:name w:val="Emphasis"/>
    <w:uiPriority w:val="20"/>
    <w:qFormat/>
    <w:rsid w:val="00B7074C"/>
    <w:rPr>
      <w:i/>
      <w:iCs/>
    </w:rPr>
  </w:style>
  <w:style w:type="paragraph" w:customStyle="1" w:styleId="msolistparagraph0">
    <w:name w:val="msolistparagraph"/>
    <w:basedOn w:val="Normal"/>
    <w:rsid w:val="009D5ED2"/>
    <w:pPr>
      <w:ind w:left="720"/>
    </w:pPr>
    <w:rPr>
      <w:rFonts w:ascii="Calibri" w:hAnsi="Calibri"/>
      <w:sz w:val="22"/>
      <w:szCs w:val="22"/>
    </w:rPr>
  </w:style>
  <w:style w:type="paragraph" w:styleId="Footer">
    <w:name w:val="footer"/>
    <w:basedOn w:val="Normal"/>
    <w:rsid w:val="00DE2AF0"/>
    <w:pPr>
      <w:tabs>
        <w:tab w:val="center" w:pos="4320"/>
        <w:tab w:val="right" w:pos="8640"/>
      </w:tabs>
    </w:pPr>
  </w:style>
  <w:style w:type="character" w:styleId="PageNumber">
    <w:name w:val="page number"/>
    <w:basedOn w:val="DefaultParagraphFont"/>
    <w:rsid w:val="00DE2AF0"/>
  </w:style>
  <w:style w:type="paragraph" w:styleId="Header">
    <w:name w:val="header"/>
    <w:basedOn w:val="Normal"/>
    <w:rsid w:val="00DE2AF0"/>
    <w:pPr>
      <w:tabs>
        <w:tab w:val="center" w:pos="4320"/>
        <w:tab w:val="right" w:pos="8640"/>
      </w:tabs>
    </w:pPr>
  </w:style>
  <w:style w:type="character" w:customStyle="1" w:styleId="xref">
    <w:name w:val="xref"/>
    <w:rsid w:val="00514B0B"/>
    <w:rPr>
      <w:color w:val="auto"/>
    </w:rPr>
  </w:style>
  <w:style w:type="paragraph" w:styleId="FootnoteText">
    <w:name w:val="footnote text"/>
    <w:basedOn w:val="Normal"/>
    <w:link w:val="FootnoteTextChar"/>
    <w:rsid w:val="00514B0B"/>
    <w:pPr>
      <w:ind w:firstLine="360"/>
    </w:pPr>
    <w:rPr>
      <w:sz w:val="22"/>
      <w:szCs w:val="22"/>
    </w:rPr>
  </w:style>
  <w:style w:type="paragraph" w:customStyle="1" w:styleId="Default">
    <w:name w:val="Default"/>
    <w:rsid w:val="001E1A8D"/>
    <w:pPr>
      <w:autoSpaceDE w:val="0"/>
      <w:autoSpaceDN w:val="0"/>
      <w:adjustRightInd w:val="0"/>
    </w:pPr>
    <w:rPr>
      <w:color w:val="000000"/>
      <w:sz w:val="24"/>
      <w:szCs w:val="24"/>
    </w:rPr>
  </w:style>
  <w:style w:type="paragraph" w:styleId="NoSpacing">
    <w:name w:val="No Spacing"/>
    <w:uiPriority w:val="1"/>
    <w:qFormat/>
    <w:rsid w:val="00385C1E"/>
    <w:rPr>
      <w:rFonts w:ascii="Calibri" w:eastAsia="Calibri" w:hAnsi="Calibri"/>
      <w:sz w:val="22"/>
      <w:szCs w:val="22"/>
    </w:rPr>
  </w:style>
  <w:style w:type="paragraph" w:styleId="BodyTextIndent2">
    <w:name w:val="Body Text Indent 2"/>
    <w:basedOn w:val="Normal"/>
    <w:link w:val="BodyTextIndent2Char"/>
    <w:uiPriority w:val="99"/>
    <w:semiHidden/>
    <w:unhideWhenUsed/>
    <w:rsid w:val="002D394E"/>
    <w:pPr>
      <w:spacing w:after="120" w:line="480" w:lineRule="auto"/>
      <w:ind w:left="360"/>
    </w:pPr>
  </w:style>
  <w:style w:type="character" w:customStyle="1" w:styleId="BodyTextIndent2Char">
    <w:name w:val="Body Text Indent 2 Char"/>
    <w:link w:val="BodyTextIndent2"/>
    <w:uiPriority w:val="99"/>
    <w:semiHidden/>
    <w:rsid w:val="002D394E"/>
    <w:rPr>
      <w:sz w:val="24"/>
      <w:szCs w:val="24"/>
    </w:rPr>
  </w:style>
  <w:style w:type="paragraph" w:styleId="BodyText3">
    <w:name w:val="Body Text 3"/>
    <w:basedOn w:val="Normal"/>
    <w:link w:val="BodyText3Char"/>
    <w:uiPriority w:val="99"/>
    <w:unhideWhenUsed/>
    <w:rsid w:val="002D394E"/>
    <w:pPr>
      <w:spacing w:after="120"/>
    </w:pPr>
    <w:rPr>
      <w:sz w:val="16"/>
      <w:szCs w:val="16"/>
    </w:rPr>
  </w:style>
  <w:style w:type="character" w:customStyle="1" w:styleId="BodyText3Char">
    <w:name w:val="Body Text 3 Char"/>
    <w:link w:val="BodyText3"/>
    <w:uiPriority w:val="99"/>
    <w:rsid w:val="002D394E"/>
    <w:rPr>
      <w:sz w:val="16"/>
      <w:szCs w:val="16"/>
    </w:rPr>
  </w:style>
  <w:style w:type="paragraph" w:customStyle="1" w:styleId="Text">
    <w:name w:val="Text"/>
    <w:basedOn w:val="Normal"/>
    <w:rsid w:val="008F3BB2"/>
    <w:pPr>
      <w:widowControl w:val="0"/>
      <w:autoSpaceDE w:val="0"/>
      <w:autoSpaceDN w:val="0"/>
      <w:adjustRightInd w:val="0"/>
      <w:spacing w:before="120" w:line="220" w:lineRule="atLeast"/>
      <w:ind w:firstLine="360"/>
      <w:jc w:val="both"/>
      <w:textAlignment w:val="center"/>
    </w:pPr>
    <w:rPr>
      <w:rFonts w:cs="Times"/>
      <w:sz w:val="22"/>
      <w:szCs w:val="22"/>
    </w:rPr>
  </w:style>
  <w:style w:type="character" w:customStyle="1" w:styleId="FootnoteTextChar">
    <w:name w:val="Footnote Text Char"/>
    <w:link w:val="FootnoteText"/>
    <w:rsid w:val="00607362"/>
    <w:rPr>
      <w:sz w:val="22"/>
      <w:szCs w:val="22"/>
    </w:rPr>
  </w:style>
  <w:style w:type="character" w:styleId="UnresolvedMention">
    <w:name w:val="Unresolved Mention"/>
    <w:uiPriority w:val="99"/>
    <w:semiHidden/>
    <w:unhideWhenUsed/>
    <w:rsid w:val="00586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6837">
      <w:bodyDiv w:val="1"/>
      <w:marLeft w:val="0"/>
      <w:marRight w:val="0"/>
      <w:marTop w:val="0"/>
      <w:marBottom w:val="0"/>
      <w:divBdr>
        <w:top w:val="none" w:sz="0" w:space="0" w:color="auto"/>
        <w:left w:val="none" w:sz="0" w:space="0" w:color="auto"/>
        <w:bottom w:val="none" w:sz="0" w:space="0" w:color="auto"/>
        <w:right w:val="none" w:sz="0" w:space="0" w:color="auto"/>
      </w:divBdr>
      <w:divsChild>
        <w:div w:id="399405371">
          <w:marLeft w:val="0"/>
          <w:marRight w:val="0"/>
          <w:marTop w:val="0"/>
          <w:marBottom w:val="0"/>
          <w:divBdr>
            <w:top w:val="none" w:sz="0" w:space="0" w:color="auto"/>
            <w:left w:val="none" w:sz="0" w:space="0" w:color="auto"/>
            <w:bottom w:val="none" w:sz="0" w:space="0" w:color="auto"/>
            <w:right w:val="none" w:sz="0" w:space="0" w:color="auto"/>
          </w:divBdr>
        </w:div>
      </w:divsChild>
    </w:div>
    <w:div w:id="85464786">
      <w:bodyDiv w:val="1"/>
      <w:marLeft w:val="0"/>
      <w:marRight w:val="0"/>
      <w:marTop w:val="0"/>
      <w:marBottom w:val="0"/>
      <w:divBdr>
        <w:top w:val="none" w:sz="0" w:space="0" w:color="auto"/>
        <w:left w:val="none" w:sz="0" w:space="0" w:color="auto"/>
        <w:bottom w:val="none" w:sz="0" w:space="0" w:color="auto"/>
        <w:right w:val="none" w:sz="0" w:space="0" w:color="auto"/>
      </w:divBdr>
    </w:div>
    <w:div w:id="96946006">
      <w:bodyDiv w:val="1"/>
      <w:marLeft w:val="0"/>
      <w:marRight w:val="0"/>
      <w:marTop w:val="0"/>
      <w:marBottom w:val="0"/>
      <w:divBdr>
        <w:top w:val="none" w:sz="0" w:space="0" w:color="auto"/>
        <w:left w:val="none" w:sz="0" w:space="0" w:color="auto"/>
        <w:bottom w:val="none" w:sz="0" w:space="0" w:color="auto"/>
        <w:right w:val="none" w:sz="0" w:space="0" w:color="auto"/>
      </w:divBdr>
      <w:divsChild>
        <w:div w:id="1680085644">
          <w:marLeft w:val="0"/>
          <w:marRight w:val="0"/>
          <w:marTop w:val="0"/>
          <w:marBottom w:val="0"/>
          <w:divBdr>
            <w:top w:val="none" w:sz="0" w:space="0" w:color="auto"/>
            <w:left w:val="none" w:sz="0" w:space="0" w:color="auto"/>
            <w:bottom w:val="none" w:sz="0" w:space="0" w:color="auto"/>
            <w:right w:val="none" w:sz="0" w:space="0" w:color="auto"/>
          </w:divBdr>
        </w:div>
      </w:divsChild>
    </w:div>
    <w:div w:id="186716869">
      <w:bodyDiv w:val="1"/>
      <w:marLeft w:val="0"/>
      <w:marRight w:val="0"/>
      <w:marTop w:val="0"/>
      <w:marBottom w:val="0"/>
      <w:divBdr>
        <w:top w:val="none" w:sz="0" w:space="0" w:color="auto"/>
        <w:left w:val="none" w:sz="0" w:space="0" w:color="auto"/>
        <w:bottom w:val="none" w:sz="0" w:space="0" w:color="auto"/>
        <w:right w:val="none" w:sz="0" w:space="0" w:color="auto"/>
      </w:divBdr>
      <w:divsChild>
        <w:div w:id="309748973">
          <w:marLeft w:val="0"/>
          <w:marRight w:val="0"/>
          <w:marTop w:val="0"/>
          <w:marBottom w:val="0"/>
          <w:divBdr>
            <w:top w:val="none" w:sz="0" w:space="0" w:color="auto"/>
            <w:left w:val="none" w:sz="0" w:space="0" w:color="auto"/>
            <w:bottom w:val="none" w:sz="0" w:space="0" w:color="auto"/>
            <w:right w:val="none" w:sz="0" w:space="0" w:color="auto"/>
          </w:divBdr>
          <w:divsChild>
            <w:div w:id="463355809">
              <w:marLeft w:val="0"/>
              <w:marRight w:val="0"/>
              <w:marTop w:val="0"/>
              <w:marBottom w:val="0"/>
              <w:divBdr>
                <w:top w:val="none" w:sz="0" w:space="0" w:color="auto"/>
                <w:left w:val="none" w:sz="0" w:space="0" w:color="auto"/>
                <w:bottom w:val="none" w:sz="0" w:space="0" w:color="auto"/>
                <w:right w:val="none" w:sz="0" w:space="0" w:color="auto"/>
              </w:divBdr>
              <w:divsChild>
                <w:div w:id="1224290034">
                  <w:marLeft w:val="0"/>
                  <w:marRight w:val="0"/>
                  <w:marTop w:val="0"/>
                  <w:marBottom w:val="0"/>
                  <w:divBdr>
                    <w:top w:val="none" w:sz="0" w:space="0" w:color="auto"/>
                    <w:left w:val="none" w:sz="0" w:space="0" w:color="auto"/>
                    <w:bottom w:val="none" w:sz="0" w:space="0" w:color="auto"/>
                    <w:right w:val="none" w:sz="0" w:space="0" w:color="auto"/>
                  </w:divBdr>
                  <w:divsChild>
                    <w:div w:id="1835216674">
                      <w:marLeft w:val="0"/>
                      <w:marRight w:val="0"/>
                      <w:marTop w:val="0"/>
                      <w:marBottom w:val="0"/>
                      <w:divBdr>
                        <w:top w:val="none" w:sz="0" w:space="0" w:color="auto"/>
                        <w:left w:val="none" w:sz="0" w:space="0" w:color="auto"/>
                        <w:bottom w:val="none" w:sz="0" w:space="0" w:color="auto"/>
                        <w:right w:val="none" w:sz="0" w:space="0" w:color="auto"/>
                      </w:divBdr>
                      <w:divsChild>
                        <w:div w:id="1107894480">
                          <w:marLeft w:val="0"/>
                          <w:marRight w:val="0"/>
                          <w:marTop w:val="0"/>
                          <w:marBottom w:val="0"/>
                          <w:divBdr>
                            <w:top w:val="none" w:sz="0" w:space="0" w:color="auto"/>
                            <w:left w:val="none" w:sz="0" w:space="0" w:color="auto"/>
                            <w:bottom w:val="none" w:sz="0" w:space="0" w:color="auto"/>
                            <w:right w:val="none" w:sz="0" w:space="0" w:color="auto"/>
                          </w:divBdr>
                          <w:divsChild>
                            <w:div w:id="9318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862566">
      <w:bodyDiv w:val="1"/>
      <w:marLeft w:val="0"/>
      <w:marRight w:val="0"/>
      <w:marTop w:val="0"/>
      <w:marBottom w:val="0"/>
      <w:divBdr>
        <w:top w:val="none" w:sz="0" w:space="0" w:color="auto"/>
        <w:left w:val="none" w:sz="0" w:space="0" w:color="auto"/>
        <w:bottom w:val="none" w:sz="0" w:space="0" w:color="auto"/>
        <w:right w:val="none" w:sz="0" w:space="0" w:color="auto"/>
      </w:divBdr>
    </w:div>
    <w:div w:id="364720811">
      <w:bodyDiv w:val="1"/>
      <w:marLeft w:val="0"/>
      <w:marRight w:val="0"/>
      <w:marTop w:val="0"/>
      <w:marBottom w:val="0"/>
      <w:divBdr>
        <w:top w:val="none" w:sz="0" w:space="0" w:color="auto"/>
        <w:left w:val="none" w:sz="0" w:space="0" w:color="auto"/>
        <w:bottom w:val="none" w:sz="0" w:space="0" w:color="auto"/>
        <w:right w:val="none" w:sz="0" w:space="0" w:color="auto"/>
      </w:divBdr>
      <w:divsChild>
        <w:div w:id="949430699">
          <w:marLeft w:val="0"/>
          <w:marRight w:val="0"/>
          <w:marTop w:val="0"/>
          <w:marBottom w:val="0"/>
          <w:divBdr>
            <w:top w:val="none" w:sz="0" w:space="0" w:color="auto"/>
            <w:left w:val="none" w:sz="0" w:space="0" w:color="auto"/>
            <w:bottom w:val="none" w:sz="0" w:space="0" w:color="auto"/>
            <w:right w:val="none" w:sz="0" w:space="0" w:color="auto"/>
          </w:divBdr>
        </w:div>
      </w:divsChild>
    </w:div>
    <w:div w:id="438258962">
      <w:bodyDiv w:val="1"/>
      <w:marLeft w:val="0"/>
      <w:marRight w:val="0"/>
      <w:marTop w:val="0"/>
      <w:marBottom w:val="0"/>
      <w:divBdr>
        <w:top w:val="none" w:sz="0" w:space="0" w:color="auto"/>
        <w:left w:val="none" w:sz="0" w:space="0" w:color="auto"/>
        <w:bottom w:val="none" w:sz="0" w:space="0" w:color="auto"/>
        <w:right w:val="none" w:sz="0" w:space="0" w:color="auto"/>
      </w:divBdr>
    </w:div>
    <w:div w:id="470173403">
      <w:bodyDiv w:val="1"/>
      <w:marLeft w:val="0"/>
      <w:marRight w:val="0"/>
      <w:marTop w:val="0"/>
      <w:marBottom w:val="0"/>
      <w:divBdr>
        <w:top w:val="none" w:sz="0" w:space="0" w:color="auto"/>
        <w:left w:val="none" w:sz="0" w:space="0" w:color="auto"/>
        <w:bottom w:val="none" w:sz="0" w:space="0" w:color="auto"/>
        <w:right w:val="none" w:sz="0" w:space="0" w:color="auto"/>
      </w:divBdr>
    </w:div>
    <w:div w:id="485509274">
      <w:bodyDiv w:val="1"/>
      <w:marLeft w:val="0"/>
      <w:marRight w:val="0"/>
      <w:marTop w:val="0"/>
      <w:marBottom w:val="0"/>
      <w:divBdr>
        <w:top w:val="none" w:sz="0" w:space="0" w:color="auto"/>
        <w:left w:val="none" w:sz="0" w:space="0" w:color="auto"/>
        <w:bottom w:val="none" w:sz="0" w:space="0" w:color="auto"/>
        <w:right w:val="none" w:sz="0" w:space="0" w:color="auto"/>
      </w:divBdr>
    </w:div>
    <w:div w:id="600918479">
      <w:bodyDiv w:val="1"/>
      <w:marLeft w:val="0"/>
      <w:marRight w:val="0"/>
      <w:marTop w:val="0"/>
      <w:marBottom w:val="0"/>
      <w:divBdr>
        <w:top w:val="none" w:sz="0" w:space="0" w:color="auto"/>
        <w:left w:val="none" w:sz="0" w:space="0" w:color="auto"/>
        <w:bottom w:val="none" w:sz="0" w:space="0" w:color="auto"/>
        <w:right w:val="none" w:sz="0" w:space="0" w:color="auto"/>
      </w:divBdr>
      <w:divsChild>
        <w:div w:id="822769977">
          <w:marLeft w:val="0"/>
          <w:marRight w:val="0"/>
          <w:marTop w:val="0"/>
          <w:marBottom w:val="0"/>
          <w:divBdr>
            <w:top w:val="none" w:sz="0" w:space="0" w:color="auto"/>
            <w:left w:val="none" w:sz="0" w:space="0" w:color="auto"/>
            <w:bottom w:val="none" w:sz="0" w:space="0" w:color="auto"/>
            <w:right w:val="none" w:sz="0" w:space="0" w:color="auto"/>
          </w:divBdr>
        </w:div>
      </w:divsChild>
    </w:div>
    <w:div w:id="718869752">
      <w:bodyDiv w:val="1"/>
      <w:marLeft w:val="0"/>
      <w:marRight w:val="0"/>
      <w:marTop w:val="0"/>
      <w:marBottom w:val="0"/>
      <w:divBdr>
        <w:top w:val="none" w:sz="0" w:space="0" w:color="auto"/>
        <w:left w:val="none" w:sz="0" w:space="0" w:color="auto"/>
        <w:bottom w:val="none" w:sz="0" w:space="0" w:color="auto"/>
        <w:right w:val="none" w:sz="0" w:space="0" w:color="auto"/>
      </w:divBdr>
      <w:divsChild>
        <w:div w:id="1475873066">
          <w:marLeft w:val="0"/>
          <w:marRight w:val="0"/>
          <w:marTop w:val="0"/>
          <w:marBottom w:val="0"/>
          <w:divBdr>
            <w:top w:val="none" w:sz="0" w:space="0" w:color="auto"/>
            <w:left w:val="none" w:sz="0" w:space="0" w:color="auto"/>
            <w:bottom w:val="none" w:sz="0" w:space="0" w:color="auto"/>
            <w:right w:val="none" w:sz="0" w:space="0" w:color="auto"/>
          </w:divBdr>
        </w:div>
      </w:divsChild>
    </w:div>
    <w:div w:id="725643939">
      <w:bodyDiv w:val="1"/>
      <w:marLeft w:val="0"/>
      <w:marRight w:val="0"/>
      <w:marTop w:val="0"/>
      <w:marBottom w:val="0"/>
      <w:divBdr>
        <w:top w:val="none" w:sz="0" w:space="0" w:color="auto"/>
        <w:left w:val="none" w:sz="0" w:space="0" w:color="auto"/>
        <w:bottom w:val="none" w:sz="0" w:space="0" w:color="auto"/>
        <w:right w:val="none" w:sz="0" w:space="0" w:color="auto"/>
      </w:divBdr>
      <w:divsChild>
        <w:div w:id="397410375">
          <w:marLeft w:val="0"/>
          <w:marRight w:val="0"/>
          <w:marTop w:val="0"/>
          <w:marBottom w:val="0"/>
          <w:divBdr>
            <w:top w:val="none" w:sz="0" w:space="0" w:color="auto"/>
            <w:left w:val="none" w:sz="0" w:space="0" w:color="auto"/>
            <w:bottom w:val="none" w:sz="0" w:space="0" w:color="auto"/>
            <w:right w:val="none" w:sz="0" w:space="0" w:color="auto"/>
          </w:divBdr>
        </w:div>
      </w:divsChild>
    </w:div>
    <w:div w:id="851408531">
      <w:bodyDiv w:val="1"/>
      <w:marLeft w:val="0"/>
      <w:marRight w:val="0"/>
      <w:marTop w:val="0"/>
      <w:marBottom w:val="0"/>
      <w:divBdr>
        <w:top w:val="none" w:sz="0" w:space="0" w:color="auto"/>
        <w:left w:val="none" w:sz="0" w:space="0" w:color="auto"/>
        <w:bottom w:val="none" w:sz="0" w:space="0" w:color="auto"/>
        <w:right w:val="none" w:sz="0" w:space="0" w:color="auto"/>
      </w:divBdr>
      <w:divsChild>
        <w:div w:id="1402872609">
          <w:marLeft w:val="0"/>
          <w:marRight w:val="0"/>
          <w:marTop w:val="0"/>
          <w:marBottom w:val="0"/>
          <w:divBdr>
            <w:top w:val="none" w:sz="0" w:space="0" w:color="auto"/>
            <w:left w:val="none" w:sz="0" w:space="0" w:color="auto"/>
            <w:bottom w:val="none" w:sz="0" w:space="0" w:color="auto"/>
            <w:right w:val="none" w:sz="0" w:space="0" w:color="auto"/>
          </w:divBdr>
        </w:div>
      </w:divsChild>
    </w:div>
    <w:div w:id="909268453">
      <w:bodyDiv w:val="1"/>
      <w:marLeft w:val="0"/>
      <w:marRight w:val="0"/>
      <w:marTop w:val="0"/>
      <w:marBottom w:val="0"/>
      <w:divBdr>
        <w:top w:val="none" w:sz="0" w:space="0" w:color="auto"/>
        <w:left w:val="none" w:sz="0" w:space="0" w:color="auto"/>
        <w:bottom w:val="none" w:sz="0" w:space="0" w:color="auto"/>
        <w:right w:val="none" w:sz="0" w:space="0" w:color="auto"/>
      </w:divBdr>
      <w:divsChild>
        <w:div w:id="1393849834">
          <w:marLeft w:val="0"/>
          <w:marRight w:val="0"/>
          <w:marTop w:val="0"/>
          <w:marBottom w:val="0"/>
          <w:divBdr>
            <w:top w:val="none" w:sz="0" w:space="0" w:color="auto"/>
            <w:left w:val="none" w:sz="0" w:space="0" w:color="auto"/>
            <w:bottom w:val="none" w:sz="0" w:space="0" w:color="auto"/>
            <w:right w:val="none" w:sz="0" w:space="0" w:color="auto"/>
          </w:divBdr>
          <w:divsChild>
            <w:div w:id="19393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5823">
      <w:bodyDiv w:val="1"/>
      <w:marLeft w:val="0"/>
      <w:marRight w:val="0"/>
      <w:marTop w:val="0"/>
      <w:marBottom w:val="0"/>
      <w:divBdr>
        <w:top w:val="none" w:sz="0" w:space="0" w:color="auto"/>
        <w:left w:val="none" w:sz="0" w:space="0" w:color="auto"/>
        <w:bottom w:val="none" w:sz="0" w:space="0" w:color="auto"/>
        <w:right w:val="none" w:sz="0" w:space="0" w:color="auto"/>
      </w:divBdr>
    </w:div>
    <w:div w:id="1162355216">
      <w:bodyDiv w:val="1"/>
      <w:marLeft w:val="0"/>
      <w:marRight w:val="0"/>
      <w:marTop w:val="0"/>
      <w:marBottom w:val="0"/>
      <w:divBdr>
        <w:top w:val="none" w:sz="0" w:space="0" w:color="auto"/>
        <w:left w:val="none" w:sz="0" w:space="0" w:color="auto"/>
        <w:bottom w:val="none" w:sz="0" w:space="0" w:color="auto"/>
        <w:right w:val="none" w:sz="0" w:space="0" w:color="auto"/>
      </w:divBdr>
    </w:div>
    <w:div w:id="1373656823">
      <w:bodyDiv w:val="1"/>
      <w:marLeft w:val="0"/>
      <w:marRight w:val="0"/>
      <w:marTop w:val="0"/>
      <w:marBottom w:val="0"/>
      <w:divBdr>
        <w:top w:val="none" w:sz="0" w:space="0" w:color="auto"/>
        <w:left w:val="none" w:sz="0" w:space="0" w:color="auto"/>
        <w:bottom w:val="none" w:sz="0" w:space="0" w:color="auto"/>
        <w:right w:val="none" w:sz="0" w:space="0" w:color="auto"/>
      </w:divBdr>
    </w:div>
    <w:div w:id="1444495403">
      <w:bodyDiv w:val="1"/>
      <w:marLeft w:val="0"/>
      <w:marRight w:val="0"/>
      <w:marTop w:val="0"/>
      <w:marBottom w:val="0"/>
      <w:divBdr>
        <w:top w:val="none" w:sz="0" w:space="0" w:color="auto"/>
        <w:left w:val="none" w:sz="0" w:space="0" w:color="auto"/>
        <w:bottom w:val="none" w:sz="0" w:space="0" w:color="auto"/>
        <w:right w:val="none" w:sz="0" w:space="0" w:color="auto"/>
      </w:divBdr>
    </w:div>
    <w:div w:id="1487480626">
      <w:bodyDiv w:val="1"/>
      <w:marLeft w:val="0"/>
      <w:marRight w:val="0"/>
      <w:marTop w:val="0"/>
      <w:marBottom w:val="0"/>
      <w:divBdr>
        <w:top w:val="none" w:sz="0" w:space="0" w:color="auto"/>
        <w:left w:val="none" w:sz="0" w:space="0" w:color="auto"/>
        <w:bottom w:val="none" w:sz="0" w:space="0" w:color="auto"/>
        <w:right w:val="none" w:sz="0" w:space="0" w:color="auto"/>
      </w:divBdr>
    </w:div>
    <w:div w:id="1549877979">
      <w:bodyDiv w:val="1"/>
      <w:marLeft w:val="0"/>
      <w:marRight w:val="0"/>
      <w:marTop w:val="0"/>
      <w:marBottom w:val="0"/>
      <w:divBdr>
        <w:top w:val="none" w:sz="0" w:space="0" w:color="auto"/>
        <w:left w:val="none" w:sz="0" w:space="0" w:color="auto"/>
        <w:bottom w:val="none" w:sz="0" w:space="0" w:color="auto"/>
        <w:right w:val="none" w:sz="0" w:space="0" w:color="auto"/>
      </w:divBdr>
    </w:div>
    <w:div w:id="1611283798">
      <w:bodyDiv w:val="1"/>
      <w:marLeft w:val="0"/>
      <w:marRight w:val="0"/>
      <w:marTop w:val="0"/>
      <w:marBottom w:val="0"/>
      <w:divBdr>
        <w:top w:val="none" w:sz="0" w:space="0" w:color="auto"/>
        <w:left w:val="none" w:sz="0" w:space="0" w:color="auto"/>
        <w:bottom w:val="none" w:sz="0" w:space="0" w:color="auto"/>
        <w:right w:val="none" w:sz="0" w:space="0" w:color="auto"/>
      </w:divBdr>
    </w:div>
    <w:div w:id="1691056980">
      <w:bodyDiv w:val="1"/>
      <w:marLeft w:val="0"/>
      <w:marRight w:val="0"/>
      <w:marTop w:val="0"/>
      <w:marBottom w:val="0"/>
      <w:divBdr>
        <w:top w:val="none" w:sz="0" w:space="0" w:color="auto"/>
        <w:left w:val="none" w:sz="0" w:space="0" w:color="auto"/>
        <w:bottom w:val="none" w:sz="0" w:space="0" w:color="auto"/>
        <w:right w:val="none" w:sz="0" w:space="0" w:color="auto"/>
      </w:divBdr>
      <w:divsChild>
        <w:div w:id="1402602399">
          <w:marLeft w:val="0"/>
          <w:marRight w:val="0"/>
          <w:marTop w:val="0"/>
          <w:marBottom w:val="0"/>
          <w:divBdr>
            <w:top w:val="none" w:sz="0" w:space="0" w:color="auto"/>
            <w:left w:val="none" w:sz="0" w:space="0" w:color="auto"/>
            <w:bottom w:val="none" w:sz="0" w:space="0" w:color="auto"/>
            <w:right w:val="none" w:sz="0" w:space="0" w:color="auto"/>
          </w:divBdr>
        </w:div>
      </w:divsChild>
    </w:div>
    <w:div w:id="1702827855">
      <w:bodyDiv w:val="1"/>
      <w:marLeft w:val="0"/>
      <w:marRight w:val="0"/>
      <w:marTop w:val="0"/>
      <w:marBottom w:val="0"/>
      <w:divBdr>
        <w:top w:val="none" w:sz="0" w:space="0" w:color="auto"/>
        <w:left w:val="none" w:sz="0" w:space="0" w:color="auto"/>
        <w:bottom w:val="none" w:sz="0" w:space="0" w:color="auto"/>
        <w:right w:val="none" w:sz="0" w:space="0" w:color="auto"/>
      </w:divBdr>
    </w:div>
    <w:div w:id="1841651838">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2111965181">
      <w:bodyDiv w:val="1"/>
      <w:marLeft w:val="0"/>
      <w:marRight w:val="0"/>
      <w:marTop w:val="0"/>
      <w:marBottom w:val="0"/>
      <w:divBdr>
        <w:top w:val="none" w:sz="0" w:space="0" w:color="auto"/>
        <w:left w:val="none" w:sz="0" w:space="0" w:color="auto"/>
        <w:bottom w:val="none" w:sz="0" w:space="0" w:color="auto"/>
        <w:right w:val="none" w:sz="0" w:space="0" w:color="auto"/>
      </w:divBdr>
    </w:div>
    <w:div w:id="2120444969">
      <w:bodyDiv w:val="1"/>
      <w:marLeft w:val="0"/>
      <w:marRight w:val="0"/>
      <w:marTop w:val="0"/>
      <w:marBottom w:val="0"/>
      <w:divBdr>
        <w:top w:val="none" w:sz="0" w:space="0" w:color="auto"/>
        <w:left w:val="none" w:sz="0" w:space="0" w:color="auto"/>
        <w:bottom w:val="none" w:sz="0" w:space="0" w:color="auto"/>
        <w:right w:val="none" w:sz="0" w:space="0" w:color="auto"/>
      </w:divBdr>
      <w:divsChild>
        <w:div w:id="1708406537">
          <w:marLeft w:val="0"/>
          <w:marRight w:val="0"/>
          <w:marTop w:val="0"/>
          <w:marBottom w:val="0"/>
          <w:divBdr>
            <w:top w:val="none" w:sz="0" w:space="0" w:color="auto"/>
            <w:left w:val="none" w:sz="0" w:space="0" w:color="auto"/>
            <w:bottom w:val="none" w:sz="0" w:space="0" w:color="auto"/>
            <w:right w:val="none" w:sz="0" w:space="0" w:color="auto"/>
          </w:divBdr>
          <w:divsChild>
            <w:div w:id="393623025">
              <w:marLeft w:val="0"/>
              <w:marRight w:val="0"/>
              <w:marTop w:val="0"/>
              <w:marBottom w:val="0"/>
              <w:divBdr>
                <w:top w:val="none" w:sz="0" w:space="0" w:color="auto"/>
                <w:left w:val="none" w:sz="0" w:space="0" w:color="auto"/>
                <w:bottom w:val="none" w:sz="0" w:space="0" w:color="auto"/>
                <w:right w:val="none" w:sz="0" w:space="0" w:color="auto"/>
              </w:divBdr>
              <w:divsChild>
                <w:div w:id="1072891718">
                  <w:marLeft w:val="0"/>
                  <w:marRight w:val="0"/>
                  <w:marTop w:val="0"/>
                  <w:marBottom w:val="0"/>
                  <w:divBdr>
                    <w:top w:val="none" w:sz="0" w:space="0" w:color="auto"/>
                    <w:left w:val="none" w:sz="0" w:space="0" w:color="auto"/>
                    <w:bottom w:val="none" w:sz="0" w:space="0" w:color="auto"/>
                    <w:right w:val="none" w:sz="0" w:space="0" w:color="auto"/>
                  </w:divBdr>
                  <w:divsChild>
                    <w:div w:id="2065904101">
                      <w:marLeft w:val="0"/>
                      <w:marRight w:val="0"/>
                      <w:marTop w:val="0"/>
                      <w:marBottom w:val="0"/>
                      <w:divBdr>
                        <w:top w:val="none" w:sz="0" w:space="0" w:color="auto"/>
                        <w:left w:val="none" w:sz="0" w:space="0" w:color="auto"/>
                        <w:bottom w:val="none" w:sz="0" w:space="0" w:color="auto"/>
                        <w:right w:val="none" w:sz="0" w:space="0" w:color="auto"/>
                      </w:divBdr>
                      <w:divsChild>
                        <w:div w:id="143857849">
                          <w:marLeft w:val="0"/>
                          <w:marRight w:val="0"/>
                          <w:marTop w:val="0"/>
                          <w:marBottom w:val="0"/>
                          <w:divBdr>
                            <w:top w:val="none" w:sz="0" w:space="0" w:color="auto"/>
                            <w:left w:val="none" w:sz="0" w:space="0" w:color="auto"/>
                            <w:bottom w:val="none" w:sz="0" w:space="0" w:color="auto"/>
                            <w:right w:val="none" w:sz="0" w:space="0" w:color="auto"/>
                          </w:divBdr>
                          <w:divsChild>
                            <w:div w:id="17586826">
                              <w:marLeft w:val="0"/>
                              <w:marRight w:val="0"/>
                              <w:marTop w:val="0"/>
                              <w:marBottom w:val="0"/>
                              <w:divBdr>
                                <w:top w:val="none" w:sz="0" w:space="0" w:color="auto"/>
                                <w:left w:val="none" w:sz="0" w:space="0" w:color="auto"/>
                                <w:bottom w:val="none" w:sz="0" w:space="0" w:color="auto"/>
                                <w:right w:val="none" w:sz="0" w:space="0" w:color="auto"/>
                              </w:divBdr>
                              <w:divsChild>
                                <w:div w:id="1854875040">
                                  <w:marLeft w:val="0"/>
                                  <w:marRight w:val="0"/>
                                  <w:marTop w:val="0"/>
                                  <w:marBottom w:val="0"/>
                                  <w:divBdr>
                                    <w:top w:val="none" w:sz="0" w:space="0" w:color="auto"/>
                                    <w:left w:val="none" w:sz="0" w:space="0" w:color="auto"/>
                                    <w:bottom w:val="none" w:sz="0" w:space="0" w:color="auto"/>
                                    <w:right w:val="none" w:sz="0" w:space="0" w:color="auto"/>
                                  </w:divBdr>
                                  <w:divsChild>
                                    <w:div w:id="2019576136">
                                      <w:marLeft w:val="0"/>
                                      <w:marRight w:val="0"/>
                                      <w:marTop w:val="0"/>
                                      <w:marBottom w:val="0"/>
                                      <w:divBdr>
                                        <w:top w:val="none" w:sz="0" w:space="0" w:color="auto"/>
                                        <w:left w:val="none" w:sz="0" w:space="0" w:color="auto"/>
                                        <w:bottom w:val="none" w:sz="0" w:space="0" w:color="auto"/>
                                        <w:right w:val="none" w:sz="0" w:space="0" w:color="auto"/>
                                      </w:divBdr>
                                      <w:divsChild>
                                        <w:div w:id="1004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196965">
      <w:bodyDiv w:val="1"/>
      <w:marLeft w:val="0"/>
      <w:marRight w:val="0"/>
      <w:marTop w:val="0"/>
      <w:marBottom w:val="0"/>
      <w:divBdr>
        <w:top w:val="none" w:sz="0" w:space="0" w:color="auto"/>
        <w:left w:val="none" w:sz="0" w:space="0" w:color="auto"/>
        <w:bottom w:val="none" w:sz="0" w:space="0" w:color="auto"/>
        <w:right w:val="none" w:sz="0" w:space="0" w:color="auto"/>
      </w:divBdr>
    </w:div>
    <w:div w:id="2145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size-standar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elta@verizo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a.gov/sites/default/files/2020-03/Borrower%20Paycheck%20Protection%20Program%20Application_0.pdf" TargetMode="External"/><Relationship Id="rId4" Type="http://schemas.openxmlformats.org/officeDocument/2006/relationships/settings" Target="settings.xml"/><Relationship Id="rId9" Type="http://schemas.openxmlformats.org/officeDocument/2006/relationships/hyperlink" Target="https://www.sba.gov/article/2020/mar/02/100-most-active-sba-7a-len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06E5-A38A-4241-9BC4-60A7EEF8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California enacted S</vt:lpstr>
    </vt:vector>
  </TitlesOfParts>
  <Company>Toshiba</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enacted S</dc:title>
  <dc:subject/>
  <dc:creator>George Delta</dc:creator>
  <cp:keywords/>
  <cp:lastModifiedBy>Steve Slagle</cp:lastModifiedBy>
  <cp:revision>3</cp:revision>
  <dcterms:created xsi:type="dcterms:W3CDTF">2020-06-08T22:06:00Z</dcterms:created>
  <dcterms:modified xsi:type="dcterms:W3CDTF">2020-06-09T02:07:00Z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-812351401</vt:i4>
  </property>
  <property fmtid="{D5CDD505-2E9C-101B-9397-08002B2CF9AE}" pid="3" name="_EmailSubject">
    <vt:lpwstr>Federal Gift Card Legislation</vt:lpwstr>
  </property>
  <property fmtid="{D5CDD505-2E9C-101B-9397-08002B2CF9AE}" pid="4" name="_AuthorEmail">
    <vt:lpwstr>gdelta@cox.net</vt:lpwstr>
  </property>
  <property fmtid="{D5CDD505-2E9C-101B-9397-08002B2CF9AE}" pid="5" name="_AuthorEmailDisplayName">
    <vt:lpwstr>GeorgeDelta</vt:lpwstr>
  </property>
  <property fmtid="{D5CDD505-2E9C-101B-9397-08002B2CF9AE}" pid="6" name="_ReviewingToolsShownOnce">
    <vt:lpwstr/>
  </property>
</Properties>
</file>