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C3644" w14:textId="77777777" w:rsidR="00716AA0" w:rsidRDefault="00716AA0">
      <w:pPr>
        <w:pStyle w:val="Title"/>
      </w:pPr>
    </w:p>
    <w:p w14:paraId="4E737840" w14:textId="46046E67" w:rsidR="00B12A16" w:rsidRPr="00B12024" w:rsidRDefault="00B12A16">
      <w:pPr>
        <w:pStyle w:val="Title"/>
      </w:pPr>
      <w:r w:rsidRPr="00B12024">
        <w:t xml:space="preserve">WASHINGTON </w:t>
      </w:r>
      <w:r w:rsidR="00DE174E" w:rsidRPr="00B12024">
        <w:t>UPDATE</w:t>
      </w:r>
    </w:p>
    <w:p w14:paraId="3ED912D5" w14:textId="77777777" w:rsidR="00B12A16" w:rsidRPr="00B12024" w:rsidRDefault="00B12A16">
      <w:pPr>
        <w:rPr>
          <w:sz w:val="44"/>
          <w:szCs w:val="44"/>
        </w:rPr>
      </w:pPr>
    </w:p>
    <w:p w14:paraId="28B43837" w14:textId="77777777" w:rsidR="00B12A16" w:rsidRPr="00B12024" w:rsidRDefault="00B12A16">
      <w:pPr>
        <w:rPr>
          <w:sz w:val="18"/>
          <w:szCs w:val="18"/>
        </w:rPr>
      </w:pPr>
      <w:r w:rsidRPr="00B12024">
        <w:rPr>
          <w:sz w:val="18"/>
          <w:szCs w:val="18"/>
        </w:rPr>
        <w:tab/>
        <w:t>Incentive Federation, Inc.</w:t>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t>George B. Delta, Esq.</w:t>
      </w:r>
    </w:p>
    <w:p w14:paraId="24DD70B8" w14:textId="64810689" w:rsidR="00B12A16" w:rsidRPr="00B12024" w:rsidRDefault="00B12A16">
      <w:pPr>
        <w:rPr>
          <w:sz w:val="18"/>
          <w:szCs w:val="18"/>
        </w:rPr>
      </w:pPr>
      <w:r w:rsidRPr="00B12024">
        <w:rPr>
          <w:sz w:val="18"/>
          <w:szCs w:val="18"/>
        </w:rPr>
        <w:tab/>
      </w:r>
      <w:r w:rsidR="007B7E93">
        <w:rPr>
          <w:sz w:val="18"/>
          <w:szCs w:val="18"/>
        </w:rPr>
        <w:t>June</w:t>
      </w:r>
      <w:r w:rsidR="00C57E02">
        <w:rPr>
          <w:sz w:val="18"/>
          <w:szCs w:val="18"/>
        </w:rPr>
        <w:t xml:space="preserve"> </w:t>
      </w:r>
      <w:r w:rsidR="007B7E93">
        <w:rPr>
          <w:sz w:val="18"/>
          <w:szCs w:val="18"/>
        </w:rPr>
        <w:t>21,</w:t>
      </w:r>
      <w:r w:rsidR="00107774">
        <w:rPr>
          <w:sz w:val="18"/>
          <w:szCs w:val="18"/>
        </w:rPr>
        <w:t xml:space="preserve"> </w:t>
      </w:r>
      <w:r w:rsidRPr="00B12024">
        <w:rPr>
          <w:sz w:val="18"/>
          <w:szCs w:val="18"/>
        </w:rPr>
        <w:t>20</w:t>
      </w:r>
      <w:r w:rsidR="00107774">
        <w:rPr>
          <w:sz w:val="18"/>
          <w:szCs w:val="18"/>
        </w:rPr>
        <w:t>2</w:t>
      </w:r>
      <w:r w:rsidR="007B7E93">
        <w:rPr>
          <w:sz w:val="18"/>
          <w:szCs w:val="18"/>
        </w:rPr>
        <w:t>4</w:t>
      </w:r>
      <w:r w:rsidR="00B31E41" w:rsidRPr="00B12024">
        <w:rPr>
          <w:sz w:val="18"/>
          <w:szCs w:val="18"/>
        </w:rPr>
        <w:tab/>
      </w:r>
      <w:r w:rsidR="00B31E41" w:rsidRPr="00B12024">
        <w:rPr>
          <w:sz w:val="18"/>
          <w:szCs w:val="18"/>
        </w:rPr>
        <w:tab/>
      </w:r>
      <w:r w:rsidR="00B31E41" w:rsidRPr="00B12024">
        <w:rPr>
          <w:sz w:val="18"/>
          <w:szCs w:val="18"/>
        </w:rPr>
        <w:tab/>
      </w:r>
      <w:r w:rsidR="00B31E41" w:rsidRPr="00B12024">
        <w:rPr>
          <w:sz w:val="18"/>
          <w:szCs w:val="18"/>
        </w:rPr>
        <w:tab/>
      </w:r>
      <w:r w:rsidR="007C0E3F">
        <w:rPr>
          <w:sz w:val="18"/>
          <w:szCs w:val="18"/>
        </w:rPr>
        <w:tab/>
      </w:r>
      <w:r w:rsidR="007C0E3F">
        <w:rPr>
          <w:sz w:val="18"/>
          <w:szCs w:val="18"/>
        </w:rPr>
        <w:tab/>
      </w:r>
      <w:r w:rsidR="007C0E3F">
        <w:rPr>
          <w:sz w:val="18"/>
          <w:szCs w:val="18"/>
        </w:rPr>
        <w:tab/>
        <w:t>(</w:t>
      </w:r>
      <w:r w:rsidR="00107774">
        <w:rPr>
          <w:sz w:val="18"/>
          <w:szCs w:val="18"/>
        </w:rPr>
        <w:t>703</w:t>
      </w:r>
      <w:r w:rsidRPr="00B12024">
        <w:rPr>
          <w:sz w:val="18"/>
          <w:szCs w:val="18"/>
        </w:rPr>
        <w:t xml:space="preserve">) </w:t>
      </w:r>
      <w:r w:rsidR="00107774">
        <w:rPr>
          <w:sz w:val="18"/>
          <w:szCs w:val="18"/>
        </w:rPr>
        <w:t>582</w:t>
      </w:r>
      <w:r w:rsidR="007C0E3F">
        <w:rPr>
          <w:sz w:val="18"/>
          <w:szCs w:val="18"/>
        </w:rPr>
        <w:t>-</w:t>
      </w:r>
      <w:r w:rsidR="00107774">
        <w:rPr>
          <w:sz w:val="18"/>
          <w:szCs w:val="18"/>
        </w:rPr>
        <w:t>7040</w:t>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u w:val="single"/>
        </w:rPr>
        <w:t>gdelta@</w:t>
      </w:r>
      <w:r w:rsidR="0054218F">
        <w:rPr>
          <w:sz w:val="18"/>
          <w:szCs w:val="18"/>
          <w:u w:val="single"/>
        </w:rPr>
        <w:t>verizon</w:t>
      </w:r>
      <w:r w:rsidR="007C0E3F">
        <w:rPr>
          <w:sz w:val="18"/>
          <w:szCs w:val="18"/>
          <w:u w:val="single"/>
        </w:rPr>
        <w:t>.net</w:t>
      </w:r>
    </w:p>
    <w:p w14:paraId="5E3A1B68" w14:textId="3267A3A9" w:rsidR="00B12A16" w:rsidRDefault="00B12A16"/>
    <w:p w14:paraId="4CFE5C4A" w14:textId="77777777" w:rsidR="008F23AA" w:rsidRPr="00A47382" w:rsidRDefault="008F23AA"/>
    <w:p w14:paraId="763A5971" w14:textId="77777777" w:rsidR="0054025A" w:rsidRPr="00F867FF" w:rsidRDefault="0054025A"/>
    <w:p w14:paraId="7DB131A8" w14:textId="128A1FC3" w:rsidR="00D61930" w:rsidRPr="00F867FF" w:rsidRDefault="00491751" w:rsidP="000E29B1">
      <w:pPr>
        <w:jc w:val="center"/>
      </w:pPr>
      <w:r w:rsidRPr="00F867FF">
        <w:t xml:space="preserve">The </w:t>
      </w:r>
      <w:r w:rsidR="00D61930" w:rsidRPr="00F867FF">
        <w:t xml:space="preserve">Proposed </w:t>
      </w:r>
      <w:r w:rsidR="007B7E93" w:rsidRPr="00F867FF">
        <w:t>Credit Card Competition Act</w:t>
      </w:r>
      <w:r w:rsidR="00D61930" w:rsidRPr="00F867FF">
        <w:t xml:space="preserve"> of 202</w:t>
      </w:r>
      <w:r w:rsidR="007B7E93" w:rsidRPr="00F867FF">
        <w:t>3</w:t>
      </w:r>
      <w:r w:rsidR="00D61930" w:rsidRPr="00F867FF">
        <w:t xml:space="preserve"> </w:t>
      </w:r>
      <w:r w:rsidR="00AA16D3" w:rsidRPr="00F867FF">
        <w:t xml:space="preserve">Might </w:t>
      </w:r>
    </w:p>
    <w:p w14:paraId="33E42F92" w14:textId="5F810BD0" w:rsidR="00385C1E" w:rsidRPr="00F867FF" w:rsidRDefault="007B7E93" w:rsidP="000E29B1">
      <w:pPr>
        <w:jc w:val="center"/>
      </w:pPr>
      <w:r w:rsidRPr="00F867FF">
        <w:t xml:space="preserve">Make It Easier to </w:t>
      </w:r>
      <w:r w:rsidR="00FD51B3" w:rsidRPr="00F867FF">
        <w:t xml:space="preserve">Eliminate </w:t>
      </w:r>
      <w:r w:rsidRPr="00F867FF">
        <w:t>Credit Card Rewards Programs</w:t>
      </w:r>
    </w:p>
    <w:p w14:paraId="5401D54C" w14:textId="77777777" w:rsidR="00265F83" w:rsidRPr="00F867FF" w:rsidRDefault="00265F83" w:rsidP="00425C96">
      <w:pPr>
        <w:jc w:val="both"/>
      </w:pPr>
    </w:p>
    <w:p w14:paraId="018D6A55" w14:textId="3000C56B" w:rsidR="000543EF" w:rsidRPr="00F867FF" w:rsidRDefault="00895B60" w:rsidP="000543EF">
      <w:pPr>
        <w:pStyle w:val="Text"/>
        <w:ind w:firstLine="720"/>
        <w:rPr>
          <w:rFonts w:cs="Times New Roman"/>
          <w:sz w:val="24"/>
          <w:szCs w:val="24"/>
        </w:rPr>
      </w:pPr>
      <w:r w:rsidRPr="00F867FF">
        <w:rPr>
          <w:rFonts w:cs="Times New Roman"/>
          <w:sz w:val="24"/>
          <w:szCs w:val="24"/>
        </w:rPr>
        <w:t>O</w:t>
      </w:r>
      <w:r w:rsidR="00725202" w:rsidRPr="00F867FF">
        <w:rPr>
          <w:rFonts w:cs="Times New Roman"/>
          <w:sz w:val="24"/>
          <w:szCs w:val="24"/>
        </w:rPr>
        <w:t xml:space="preserve">n June </w:t>
      </w:r>
      <w:r w:rsidRPr="00F867FF">
        <w:rPr>
          <w:rFonts w:cs="Times New Roman"/>
          <w:sz w:val="24"/>
          <w:szCs w:val="24"/>
        </w:rPr>
        <w:t xml:space="preserve">7, </w:t>
      </w:r>
      <w:r w:rsidR="00725202" w:rsidRPr="00F867FF">
        <w:rPr>
          <w:rFonts w:cs="Times New Roman"/>
          <w:sz w:val="24"/>
          <w:szCs w:val="24"/>
        </w:rPr>
        <w:t>2023</w:t>
      </w:r>
      <w:r w:rsidR="00C229B5" w:rsidRPr="00F867FF">
        <w:rPr>
          <w:rFonts w:cs="Times New Roman"/>
          <w:sz w:val="24"/>
          <w:szCs w:val="24"/>
        </w:rPr>
        <w:t xml:space="preserve">, </w:t>
      </w:r>
      <w:r w:rsidR="00725202" w:rsidRPr="00F867FF">
        <w:rPr>
          <w:rFonts w:cs="Times New Roman"/>
          <w:sz w:val="24"/>
          <w:szCs w:val="24"/>
        </w:rPr>
        <w:t>a bipartisan group of legislators led by Sen. Dick Durbin (D-IL)</w:t>
      </w:r>
      <w:r w:rsidR="00F94BBA">
        <w:rPr>
          <w:rFonts w:cs="Times New Roman"/>
          <w:sz w:val="24"/>
          <w:szCs w:val="24"/>
        </w:rPr>
        <w:t>,</w:t>
      </w:r>
      <w:r w:rsidR="000400F4" w:rsidRPr="00F867FF">
        <w:rPr>
          <w:rFonts w:cs="Times New Roman"/>
          <w:sz w:val="24"/>
          <w:szCs w:val="24"/>
        </w:rPr>
        <w:t xml:space="preserve"> Sen. Roger Marshall, M.D. (R-KS)</w:t>
      </w:r>
      <w:r w:rsidR="00F94BBA">
        <w:rPr>
          <w:rFonts w:cs="Times New Roman"/>
          <w:sz w:val="24"/>
          <w:szCs w:val="24"/>
        </w:rPr>
        <w:t>, Sen. Peter Welch (D-VT), and Sen. J.D. Vance (R-OH)</w:t>
      </w:r>
      <w:r w:rsidR="000400F4" w:rsidRPr="00F867FF">
        <w:rPr>
          <w:rFonts w:cs="Times New Roman"/>
          <w:sz w:val="24"/>
          <w:szCs w:val="24"/>
        </w:rPr>
        <w:t xml:space="preserve"> </w:t>
      </w:r>
      <w:r w:rsidR="00725202" w:rsidRPr="00F867FF">
        <w:rPr>
          <w:rFonts w:cs="Times New Roman"/>
          <w:sz w:val="24"/>
          <w:szCs w:val="24"/>
        </w:rPr>
        <w:t xml:space="preserve">introduced </w:t>
      </w:r>
      <w:r w:rsidR="00221BEB" w:rsidRPr="00F867FF">
        <w:rPr>
          <w:rFonts w:cs="Times New Roman"/>
          <w:sz w:val="24"/>
          <w:szCs w:val="24"/>
        </w:rPr>
        <w:t xml:space="preserve">H.R. </w:t>
      </w:r>
      <w:r w:rsidR="00725202" w:rsidRPr="00F867FF">
        <w:rPr>
          <w:rFonts w:cs="Times New Roman"/>
          <w:sz w:val="24"/>
          <w:szCs w:val="24"/>
        </w:rPr>
        <w:t>3</w:t>
      </w:r>
      <w:r w:rsidR="00221BEB" w:rsidRPr="00F867FF">
        <w:rPr>
          <w:rFonts w:cs="Times New Roman"/>
          <w:sz w:val="24"/>
          <w:szCs w:val="24"/>
        </w:rPr>
        <w:t>8</w:t>
      </w:r>
      <w:r w:rsidR="00725202" w:rsidRPr="00F867FF">
        <w:rPr>
          <w:rFonts w:cs="Times New Roman"/>
          <w:sz w:val="24"/>
          <w:szCs w:val="24"/>
        </w:rPr>
        <w:t>81/S.1838</w:t>
      </w:r>
      <w:r w:rsidR="00221BEB" w:rsidRPr="00F867FF">
        <w:rPr>
          <w:rFonts w:cs="Times New Roman"/>
          <w:sz w:val="24"/>
          <w:szCs w:val="24"/>
        </w:rPr>
        <w:t xml:space="preserve">, </w:t>
      </w:r>
      <w:r w:rsidR="00725202" w:rsidRPr="00F867FF">
        <w:rPr>
          <w:rFonts w:cs="Times New Roman"/>
          <w:sz w:val="24"/>
          <w:szCs w:val="24"/>
        </w:rPr>
        <w:t xml:space="preserve">the Credit Card Competition </w:t>
      </w:r>
      <w:r w:rsidR="00221BEB" w:rsidRPr="00F867FF">
        <w:rPr>
          <w:rFonts w:cs="Times New Roman"/>
          <w:sz w:val="24"/>
          <w:szCs w:val="24"/>
        </w:rPr>
        <w:t>Act</w:t>
      </w:r>
      <w:r w:rsidR="003A6C5F" w:rsidRPr="00F867FF">
        <w:rPr>
          <w:rFonts w:cs="Times New Roman"/>
          <w:sz w:val="24"/>
          <w:szCs w:val="24"/>
        </w:rPr>
        <w:t xml:space="preserve"> </w:t>
      </w:r>
      <w:r w:rsidR="000400F4" w:rsidRPr="00F867FF">
        <w:rPr>
          <w:rFonts w:cs="Times New Roman"/>
          <w:sz w:val="24"/>
          <w:szCs w:val="24"/>
        </w:rPr>
        <w:t xml:space="preserve">of 2023 </w:t>
      </w:r>
      <w:r w:rsidR="00221BEB" w:rsidRPr="00F867FF">
        <w:rPr>
          <w:rFonts w:cs="Times New Roman"/>
          <w:sz w:val="24"/>
          <w:szCs w:val="24"/>
        </w:rPr>
        <w:t xml:space="preserve">(the </w:t>
      </w:r>
      <w:r w:rsidR="00611814" w:rsidRPr="00F867FF">
        <w:rPr>
          <w:rFonts w:cs="Times New Roman"/>
          <w:sz w:val="24"/>
          <w:szCs w:val="24"/>
        </w:rPr>
        <w:t>“</w:t>
      </w:r>
      <w:r w:rsidR="00725202" w:rsidRPr="00F867FF">
        <w:rPr>
          <w:rFonts w:cs="Times New Roman"/>
          <w:sz w:val="24"/>
          <w:szCs w:val="24"/>
        </w:rPr>
        <w:t>CCC</w:t>
      </w:r>
      <w:r w:rsidR="00221BEB" w:rsidRPr="00F867FF">
        <w:rPr>
          <w:rFonts w:cs="Times New Roman"/>
          <w:sz w:val="24"/>
          <w:szCs w:val="24"/>
        </w:rPr>
        <w:t xml:space="preserve"> Act”)</w:t>
      </w:r>
      <w:r w:rsidR="000770A6" w:rsidRPr="00F867FF">
        <w:rPr>
          <w:rFonts w:cs="Times New Roman"/>
          <w:sz w:val="24"/>
          <w:szCs w:val="24"/>
        </w:rPr>
        <w:t>,</w:t>
      </w:r>
      <w:r w:rsidR="009A4DB1" w:rsidRPr="00F867FF">
        <w:rPr>
          <w:rFonts w:cs="Times New Roman"/>
          <w:sz w:val="24"/>
          <w:szCs w:val="24"/>
        </w:rPr>
        <w:t xml:space="preserve"> </w:t>
      </w:r>
      <w:r w:rsidR="000400F4" w:rsidRPr="00F867FF">
        <w:rPr>
          <w:rFonts w:cs="Times New Roman"/>
          <w:sz w:val="24"/>
          <w:szCs w:val="24"/>
        </w:rPr>
        <w:t xml:space="preserve">in an effort to change the way credit card transactions are processed thereby lowering credit card processing fees.  The duopoly of Visa and Mastercard controls over 80 percent of the U.S. credit card network market, and every time someone uses a Visa or Mastercard credit card, an average fee of </w:t>
      </w:r>
      <w:r w:rsidR="000543EF" w:rsidRPr="00F867FF">
        <w:rPr>
          <w:rFonts w:cs="Times New Roman"/>
          <w:sz w:val="24"/>
          <w:szCs w:val="24"/>
        </w:rPr>
        <w:t xml:space="preserve">2 to 3 percent </w:t>
      </w:r>
      <w:r w:rsidR="000400F4" w:rsidRPr="00F867FF">
        <w:rPr>
          <w:rFonts w:cs="Times New Roman"/>
          <w:sz w:val="24"/>
          <w:szCs w:val="24"/>
        </w:rPr>
        <w:t xml:space="preserve">is imposed on and deducted from the transaction amount the merchant actually receives.  Visa and Mastercard keep some of that fee for themselves as a network fee, but most of </w:t>
      </w:r>
      <w:r w:rsidR="000543EF" w:rsidRPr="00F867FF">
        <w:rPr>
          <w:rFonts w:cs="Times New Roman"/>
          <w:sz w:val="24"/>
          <w:szCs w:val="24"/>
        </w:rPr>
        <w:t xml:space="preserve">it </w:t>
      </w:r>
      <w:r w:rsidR="000400F4" w:rsidRPr="00F867FF">
        <w:rPr>
          <w:rFonts w:cs="Times New Roman"/>
          <w:sz w:val="24"/>
          <w:szCs w:val="24"/>
        </w:rPr>
        <w:t xml:space="preserve">is an interchange fee </w:t>
      </w:r>
      <w:r w:rsidR="000543EF" w:rsidRPr="00F867FF">
        <w:rPr>
          <w:rFonts w:cs="Times New Roman"/>
          <w:sz w:val="24"/>
          <w:szCs w:val="24"/>
        </w:rPr>
        <w:t xml:space="preserve">that </w:t>
      </w:r>
      <w:r w:rsidR="000400F4" w:rsidRPr="00F867FF">
        <w:rPr>
          <w:rFonts w:cs="Times New Roman"/>
          <w:sz w:val="24"/>
          <w:szCs w:val="24"/>
        </w:rPr>
        <w:t>is fixed by Visa and Mastercard but paid to the bank that issued the card</w:t>
      </w:r>
      <w:r w:rsidR="000543EF" w:rsidRPr="00F867FF">
        <w:rPr>
          <w:rFonts w:cs="Times New Roman"/>
          <w:sz w:val="24"/>
          <w:szCs w:val="24"/>
        </w:rPr>
        <w:t>.  A</w:t>
      </w:r>
      <w:r w:rsidR="00DA7850" w:rsidRPr="00F867FF">
        <w:rPr>
          <w:rFonts w:cs="Times New Roman"/>
          <w:sz w:val="24"/>
          <w:szCs w:val="24"/>
        </w:rPr>
        <w:t xml:space="preserve">s a result, </w:t>
      </w:r>
      <w:r w:rsidR="000543EF" w:rsidRPr="00F867FF">
        <w:rPr>
          <w:rFonts w:cs="Times New Roman"/>
          <w:sz w:val="24"/>
          <w:szCs w:val="24"/>
        </w:rPr>
        <w:t>a</w:t>
      </w:r>
      <w:r w:rsidR="000400F4" w:rsidRPr="00F867FF">
        <w:rPr>
          <w:rFonts w:cs="Times New Roman"/>
          <w:sz w:val="24"/>
          <w:szCs w:val="24"/>
        </w:rPr>
        <w:t xml:space="preserve"> merchant typically ends up receiving $9</w:t>
      </w:r>
      <w:r w:rsidR="000543EF" w:rsidRPr="00F867FF">
        <w:rPr>
          <w:rFonts w:cs="Times New Roman"/>
          <w:sz w:val="24"/>
          <w:szCs w:val="24"/>
        </w:rPr>
        <w:t>7</w:t>
      </w:r>
      <w:r w:rsidR="000400F4" w:rsidRPr="00F867FF">
        <w:rPr>
          <w:rFonts w:cs="Times New Roman"/>
          <w:sz w:val="24"/>
          <w:szCs w:val="24"/>
        </w:rPr>
        <w:t xml:space="preserve"> or $9</w:t>
      </w:r>
      <w:r w:rsidR="000543EF" w:rsidRPr="00F867FF">
        <w:rPr>
          <w:rFonts w:cs="Times New Roman"/>
          <w:sz w:val="24"/>
          <w:szCs w:val="24"/>
        </w:rPr>
        <w:t>8</w:t>
      </w:r>
      <w:r w:rsidR="000400F4" w:rsidRPr="00F867FF">
        <w:rPr>
          <w:rFonts w:cs="Times New Roman"/>
          <w:sz w:val="24"/>
          <w:szCs w:val="24"/>
        </w:rPr>
        <w:t xml:space="preserve"> on a $100 sale. </w:t>
      </w:r>
    </w:p>
    <w:p w14:paraId="7DDBA739" w14:textId="6B3BE010" w:rsidR="000543EF" w:rsidRPr="00F867FF" w:rsidRDefault="000543EF" w:rsidP="000543EF">
      <w:pPr>
        <w:pStyle w:val="Text"/>
        <w:ind w:firstLine="720"/>
        <w:rPr>
          <w:rFonts w:cs="Times New Roman"/>
          <w:sz w:val="24"/>
          <w:szCs w:val="24"/>
        </w:rPr>
      </w:pPr>
      <w:r w:rsidRPr="00F867FF">
        <w:rPr>
          <w:rFonts w:cs="Times New Roman"/>
          <w:sz w:val="24"/>
          <w:szCs w:val="24"/>
        </w:rPr>
        <w:t xml:space="preserve">In contrast, such credit card fees are lower in other countries.  The EU regulates </w:t>
      </w:r>
      <w:r w:rsidR="006740FC" w:rsidRPr="00F867FF">
        <w:rPr>
          <w:rFonts w:cs="Times New Roman"/>
          <w:sz w:val="24"/>
          <w:szCs w:val="24"/>
        </w:rPr>
        <w:t xml:space="preserve">consumer </w:t>
      </w:r>
      <w:r w:rsidRPr="00F867FF">
        <w:rPr>
          <w:rFonts w:cs="Times New Roman"/>
          <w:sz w:val="24"/>
          <w:szCs w:val="24"/>
        </w:rPr>
        <w:t xml:space="preserve">credit cards strictly, and </w:t>
      </w:r>
      <w:r w:rsidR="006740FC" w:rsidRPr="00F867FF">
        <w:rPr>
          <w:rFonts w:cs="Times New Roman"/>
          <w:sz w:val="24"/>
          <w:szCs w:val="24"/>
        </w:rPr>
        <w:t xml:space="preserve">in 2015 the European Parliament </w:t>
      </w:r>
      <w:r w:rsidRPr="00F867FF">
        <w:rPr>
          <w:rFonts w:cs="Times New Roman"/>
          <w:sz w:val="24"/>
          <w:szCs w:val="24"/>
        </w:rPr>
        <w:t>imposed a cap of 0.3</w:t>
      </w:r>
      <w:r w:rsidR="00BC044B" w:rsidRPr="00F867FF">
        <w:rPr>
          <w:rFonts w:cs="Times New Roman"/>
          <w:sz w:val="24"/>
          <w:szCs w:val="24"/>
        </w:rPr>
        <w:t xml:space="preserve"> </w:t>
      </w:r>
      <w:r w:rsidRPr="00F867FF">
        <w:rPr>
          <w:rFonts w:cs="Times New Roman"/>
          <w:sz w:val="24"/>
          <w:szCs w:val="24"/>
        </w:rPr>
        <w:t xml:space="preserve">percent </w:t>
      </w:r>
      <w:r w:rsidR="006740FC" w:rsidRPr="00F867FF">
        <w:rPr>
          <w:rFonts w:cs="Times New Roman"/>
          <w:sz w:val="24"/>
          <w:szCs w:val="24"/>
        </w:rPr>
        <w:t xml:space="preserve">on interchange fees. </w:t>
      </w:r>
      <w:r w:rsidR="00DA7850" w:rsidRPr="00F867FF">
        <w:rPr>
          <w:rFonts w:cs="Times New Roman"/>
          <w:sz w:val="24"/>
          <w:szCs w:val="24"/>
        </w:rPr>
        <w:t>(</w:t>
      </w:r>
      <w:r w:rsidR="006740FC" w:rsidRPr="00F867FF">
        <w:rPr>
          <w:rFonts w:cs="Times New Roman"/>
          <w:sz w:val="24"/>
          <w:szCs w:val="24"/>
        </w:rPr>
        <w:t xml:space="preserve">Corporate </w:t>
      </w:r>
      <w:r w:rsidR="00BC044B" w:rsidRPr="00F867FF">
        <w:rPr>
          <w:rFonts w:cs="Times New Roman"/>
          <w:sz w:val="24"/>
          <w:szCs w:val="24"/>
        </w:rPr>
        <w:t>cards do not have caps on interchange fees.</w:t>
      </w:r>
      <w:r w:rsidR="00DA7850" w:rsidRPr="00F867FF">
        <w:rPr>
          <w:rFonts w:cs="Times New Roman"/>
          <w:sz w:val="24"/>
          <w:szCs w:val="24"/>
        </w:rPr>
        <w:t>)</w:t>
      </w:r>
      <w:r w:rsidR="006740FC" w:rsidRPr="00F867FF">
        <w:rPr>
          <w:rFonts w:cs="Times New Roman"/>
          <w:sz w:val="24"/>
          <w:szCs w:val="24"/>
        </w:rPr>
        <w:t xml:space="preserve"> (</w:t>
      </w:r>
      <w:hyperlink r:id="rId8" w:history="1">
        <w:r w:rsidR="00BC044B" w:rsidRPr="00F867FF">
          <w:rPr>
            <w:rStyle w:val="Hyperlink"/>
            <w:rFonts w:cs="Times New Roman"/>
            <w:sz w:val="24"/>
            <w:szCs w:val="24"/>
          </w:rPr>
          <w:t>https://ec.europa.eu/commission/presscorner/detail/en/IP_15_4585</w:t>
        </w:r>
      </w:hyperlink>
      <w:r w:rsidR="006740FC" w:rsidRPr="00F867FF">
        <w:rPr>
          <w:rFonts w:cs="Times New Roman"/>
          <w:sz w:val="24"/>
          <w:szCs w:val="24"/>
        </w:rPr>
        <w:t>)</w:t>
      </w:r>
      <w:r w:rsidR="00BC044B" w:rsidRPr="00F867FF">
        <w:rPr>
          <w:rFonts w:cs="Times New Roman"/>
          <w:sz w:val="24"/>
          <w:szCs w:val="24"/>
        </w:rPr>
        <w:t xml:space="preserve">  </w:t>
      </w:r>
      <w:r w:rsidR="009E21B2" w:rsidRPr="00F867FF">
        <w:rPr>
          <w:rFonts w:cs="Times New Roman"/>
          <w:sz w:val="24"/>
          <w:szCs w:val="24"/>
        </w:rPr>
        <w:t xml:space="preserve">According to </w:t>
      </w:r>
      <w:r w:rsidR="00621FB2" w:rsidRPr="00F867FF">
        <w:rPr>
          <w:rFonts w:cs="Times New Roman"/>
          <w:sz w:val="24"/>
          <w:szCs w:val="24"/>
        </w:rPr>
        <w:t xml:space="preserve">a </w:t>
      </w:r>
      <w:r w:rsidR="00AB44E2">
        <w:rPr>
          <w:rFonts w:cs="Times New Roman"/>
          <w:sz w:val="24"/>
          <w:szCs w:val="24"/>
        </w:rPr>
        <w:t>multi-</w:t>
      </w:r>
      <w:r w:rsidR="00DA7850" w:rsidRPr="00F867FF">
        <w:rPr>
          <w:rFonts w:cs="Times New Roman"/>
          <w:sz w:val="24"/>
          <w:szCs w:val="24"/>
        </w:rPr>
        <w:t xml:space="preserve">country </w:t>
      </w:r>
      <w:r w:rsidR="00621FB2" w:rsidRPr="00F867FF">
        <w:rPr>
          <w:rFonts w:cs="Times New Roman"/>
          <w:sz w:val="24"/>
          <w:szCs w:val="24"/>
        </w:rPr>
        <w:t xml:space="preserve">survey published by </w:t>
      </w:r>
      <w:r w:rsidR="00895B60" w:rsidRPr="00F867FF">
        <w:rPr>
          <w:rFonts w:cs="Times New Roman"/>
          <w:sz w:val="24"/>
          <w:szCs w:val="24"/>
        </w:rPr>
        <w:t xml:space="preserve">Fumiko Hayashi and Jesse Leigh </w:t>
      </w:r>
      <w:proofErr w:type="spellStart"/>
      <w:r w:rsidR="00895B60" w:rsidRPr="00F867FF">
        <w:rPr>
          <w:rFonts w:cs="Times New Roman"/>
          <w:sz w:val="24"/>
          <w:szCs w:val="24"/>
        </w:rPr>
        <w:t>Maniff</w:t>
      </w:r>
      <w:proofErr w:type="spellEnd"/>
      <w:r w:rsidR="00895B60" w:rsidRPr="00F867FF">
        <w:rPr>
          <w:rFonts w:cs="Times New Roman"/>
          <w:sz w:val="24"/>
          <w:szCs w:val="24"/>
        </w:rPr>
        <w:t xml:space="preserve">, </w:t>
      </w:r>
      <w:r w:rsidR="00621FB2" w:rsidRPr="00F867FF">
        <w:rPr>
          <w:rFonts w:cs="Times New Roman"/>
          <w:sz w:val="24"/>
          <w:szCs w:val="24"/>
        </w:rPr>
        <w:t xml:space="preserve">two payments policy advisors/specialists at </w:t>
      </w:r>
      <w:r w:rsidR="009E21B2" w:rsidRPr="00F867FF">
        <w:rPr>
          <w:rFonts w:cs="Times New Roman"/>
          <w:sz w:val="24"/>
          <w:szCs w:val="24"/>
        </w:rPr>
        <w:t>the Federal Reserve Bank</w:t>
      </w:r>
      <w:r w:rsidR="005034FE" w:rsidRPr="00F867FF">
        <w:rPr>
          <w:rFonts w:cs="Times New Roman"/>
          <w:sz w:val="24"/>
          <w:szCs w:val="24"/>
        </w:rPr>
        <w:t xml:space="preserve"> of Kansas City</w:t>
      </w:r>
      <w:r w:rsidR="009E21B2" w:rsidRPr="00F867FF">
        <w:rPr>
          <w:rFonts w:cs="Times New Roman"/>
          <w:sz w:val="24"/>
          <w:szCs w:val="24"/>
        </w:rPr>
        <w:t xml:space="preserve">, </w:t>
      </w:r>
      <w:r w:rsidR="00B5112E">
        <w:rPr>
          <w:rFonts w:cs="Times New Roman"/>
          <w:sz w:val="24"/>
          <w:szCs w:val="24"/>
        </w:rPr>
        <w:t>“</w:t>
      </w:r>
      <w:r w:rsidR="00621FB2" w:rsidRPr="00B5112E">
        <w:rPr>
          <w:rFonts w:cs="Times New Roman"/>
          <w:sz w:val="24"/>
          <w:szCs w:val="24"/>
        </w:rPr>
        <w:t>Public Authority Involvement in Payment Card Markets: Various Countries</w:t>
      </w:r>
      <w:r w:rsidR="00B5112E">
        <w:rPr>
          <w:rFonts w:cs="Times New Roman"/>
          <w:sz w:val="24"/>
          <w:szCs w:val="24"/>
        </w:rPr>
        <w:t>”</w:t>
      </w:r>
      <w:r w:rsidR="00621FB2" w:rsidRPr="00F867FF">
        <w:rPr>
          <w:rFonts w:cs="Times New Roman"/>
          <w:sz w:val="24"/>
          <w:szCs w:val="24"/>
        </w:rPr>
        <w:t xml:space="preserve"> (August 2020 Update), </w:t>
      </w:r>
      <w:r w:rsidR="00BC044B" w:rsidRPr="00F867FF">
        <w:rPr>
          <w:rFonts w:cs="Times New Roman"/>
          <w:sz w:val="24"/>
          <w:szCs w:val="24"/>
        </w:rPr>
        <w:t>China and Australia have similar regulations resulting</w:t>
      </w:r>
      <w:r w:rsidR="00DA7850" w:rsidRPr="00F867FF">
        <w:rPr>
          <w:rFonts w:cs="Times New Roman"/>
          <w:sz w:val="24"/>
          <w:szCs w:val="24"/>
        </w:rPr>
        <w:t xml:space="preserve"> in</w:t>
      </w:r>
      <w:r w:rsidR="00BC044B" w:rsidRPr="00F867FF">
        <w:rPr>
          <w:rFonts w:cs="Times New Roman"/>
          <w:sz w:val="24"/>
          <w:szCs w:val="24"/>
        </w:rPr>
        <w:t xml:space="preserve"> interchange fees of 0.45 percent and 0.5 percent, respectively.  Canada has no formal regulation of fees, but </w:t>
      </w:r>
      <w:r w:rsidR="00621FB2" w:rsidRPr="00F867FF">
        <w:rPr>
          <w:rFonts w:cs="Times New Roman"/>
          <w:sz w:val="24"/>
          <w:szCs w:val="24"/>
        </w:rPr>
        <w:t xml:space="preserve">Canada’s Department of Finance convinced </w:t>
      </w:r>
      <w:r w:rsidR="00BC044B" w:rsidRPr="00F867FF">
        <w:rPr>
          <w:rFonts w:cs="Times New Roman"/>
          <w:sz w:val="24"/>
          <w:szCs w:val="24"/>
        </w:rPr>
        <w:t xml:space="preserve">Visa and Mastercard </w:t>
      </w:r>
      <w:r w:rsidR="00621FB2" w:rsidRPr="00F867FF">
        <w:rPr>
          <w:rFonts w:cs="Times New Roman"/>
          <w:sz w:val="24"/>
          <w:szCs w:val="24"/>
        </w:rPr>
        <w:t xml:space="preserve">to </w:t>
      </w:r>
      <w:r w:rsidR="00BC044B" w:rsidRPr="00F867FF">
        <w:rPr>
          <w:rFonts w:cs="Times New Roman"/>
          <w:sz w:val="24"/>
          <w:szCs w:val="24"/>
        </w:rPr>
        <w:t>voluntarily cap</w:t>
      </w:r>
      <w:r w:rsidR="00621FB2" w:rsidRPr="00F867FF">
        <w:rPr>
          <w:rFonts w:cs="Times New Roman"/>
          <w:sz w:val="24"/>
          <w:szCs w:val="24"/>
        </w:rPr>
        <w:t xml:space="preserve"> </w:t>
      </w:r>
      <w:r w:rsidR="00BC044B" w:rsidRPr="00F867FF">
        <w:rPr>
          <w:rFonts w:cs="Times New Roman"/>
          <w:sz w:val="24"/>
          <w:szCs w:val="24"/>
        </w:rPr>
        <w:t xml:space="preserve">their interchange fees at 1.4 percent.  </w:t>
      </w:r>
      <w:r w:rsidR="00895B60" w:rsidRPr="00F867FF">
        <w:rPr>
          <w:rFonts w:cs="Times New Roman"/>
          <w:sz w:val="24"/>
          <w:szCs w:val="24"/>
        </w:rPr>
        <w:t xml:space="preserve">Brazil has capped interchange fees at 0.8 percent while requiring that the average </w:t>
      </w:r>
      <w:r w:rsidR="00DA7850" w:rsidRPr="00F867FF">
        <w:rPr>
          <w:rFonts w:cs="Times New Roman"/>
          <w:sz w:val="24"/>
          <w:szCs w:val="24"/>
        </w:rPr>
        <w:t xml:space="preserve">of </w:t>
      </w:r>
      <w:r w:rsidR="00895B60" w:rsidRPr="00F867FF">
        <w:rPr>
          <w:rFonts w:cs="Times New Roman"/>
          <w:sz w:val="24"/>
          <w:szCs w:val="24"/>
        </w:rPr>
        <w:t xml:space="preserve">such fees not exceed 0.5 percent.  </w:t>
      </w:r>
      <w:r w:rsidR="00BC044B" w:rsidRPr="00F867FF">
        <w:rPr>
          <w:rFonts w:cs="Times New Roman"/>
          <w:color w:val="0D1311"/>
          <w:spacing w:val="8"/>
          <w:sz w:val="24"/>
          <w:szCs w:val="24"/>
        </w:rPr>
        <w:t xml:space="preserve">In the US, there are no fee constraints, voluntary card network agreements, or network routing competition on credit cards, which makes the US an outlier in this regard and US credit card interchange fees </w:t>
      </w:r>
      <w:r w:rsidR="00AB44E2">
        <w:rPr>
          <w:rFonts w:cs="Times New Roman"/>
          <w:color w:val="0D1311"/>
          <w:spacing w:val="8"/>
          <w:sz w:val="24"/>
          <w:szCs w:val="24"/>
        </w:rPr>
        <w:t xml:space="preserve">among </w:t>
      </w:r>
      <w:r w:rsidR="00BC044B" w:rsidRPr="00F867FF">
        <w:rPr>
          <w:rFonts w:cs="Times New Roman"/>
          <w:color w:val="0D1311"/>
          <w:spacing w:val="8"/>
          <w:sz w:val="24"/>
          <w:szCs w:val="24"/>
        </w:rPr>
        <w:t>the highest in the world.</w:t>
      </w:r>
      <w:r w:rsidR="00DA7850" w:rsidRPr="00F867FF">
        <w:rPr>
          <w:rFonts w:cs="Times New Roman"/>
          <w:color w:val="0D1311"/>
          <w:spacing w:val="8"/>
          <w:sz w:val="24"/>
          <w:szCs w:val="24"/>
        </w:rPr>
        <w:t xml:space="preserve">  Moreover, the variation among credit card</w:t>
      </w:r>
      <w:r w:rsidR="00AB44E2">
        <w:rPr>
          <w:rFonts w:cs="Times New Roman"/>
          <w:color w:val="0D1311"/>
          <w:spacing w:val="8"/>
          <w:sz w:val="24"/>
          <w:szCs w:val="24"/>
        </w:rPr>
        <w:t>s</w:t>
      </w:r>
      <w:r w:rsidR="00DA7850" w:rsidRPr="00F867FF">
        <w:rPr>
          <w:rFonts w:cs="Times New Roman"/>
          <w:color w:val="0D1311"/>
          <w:spacing w:val="8"/>
          <w:sz w:val="24"/>
          <w:szCs w:val="24"/>
        </w:rPr>
        <w:t xml:space="preserve"> is considerable, with some credit cards (</w:t>
      </w:r>
      <w:r w:rsidR="00DA7850" w:rsidRPr="00F867FF">
        <w:rPr>
          <w:rFonts w:cs="Times New Roman"/>
          <w:i/>
          <w:iCs/>
          <w:color w:val="0D1311"/>
          <w:spacing w:val="8"/>
          <w:sz w:val="24"/>
          <w:szCs w:val="24"/>
        </w:rPr>
        <w:t>e.g.</w:t>
      </w:r>
      <w:r w:rsidR="00DA7850" w:rsidRPr="00F867FF">
        <w:rPr>
          <w:rFonts w:cs="Times New Roman"/>
          <w:color w:val="0D1311"/>
          <w:spacing w:val="8"/>
          <w:sz w:val="24"/>
          <w:szCs w:val="24"/>
        </w:rPr>
        <w:t>, rewards cards) costing merchants up to twice as much as other cards</w:t>
      </w:r>
      <w:r w:rsidR="00AB44E2">
        <w:rPr>
          <w:rFonts w:cs="Times New Roman"/>
          <w:color w:val="0D1311"/>
          <w:spacing w:val="8"/>
          <w:sz w:val="24"/>
          <w:szCs w:val="24"/>
        </w:rPr>
        <w:t xml:space="preserve">.  </w:t>
      </w:r>
    </w:p>
    <w:p w14:paraId="65D03295" w14:textId="11A3789D" w:rsidR="001C6A66" w:rsidRPr="00F867FF" w:rsidRDefault="005D722F" w:rsidP="00992A6C">
      <w:pPr>
        <w:pStyle w:val="Text"/>
        <w:ind w:firstLine="720"/>
        <w:rPr>
          <w:rFonts w:cs="Times New Roman"/>
          <w:sz w:val="24"/>
          <w:szCs w:val="24"/>
        </w:rPr>
      </w:pPr>
      <w:r w:rsidRPr="00F867FF">
        <w:rPr>
          <w:rFonts w:cs="Times New Roman"/>
          <w:sz w:val="24"/>
          <w:szCs w:val="24"/>
        </w:rPr>
        <w:t xml:space="preserve">The CCC Act aims to </w:t>
      </w:r>
      <w:r w:rsidR="006A7C1E">
        <w:rPr>
          <w:rFonts w:cs="Times New Roman"/>
          <w:sz w:val="24"/>
          <w:szCs w:val="24"/>
        </w:rPr>
        <w:t xml:space="preserve">correct </w:t>
      </w:r>
      <w:r w:rsidR="00DA7850" w:rsidRPr="00F867FF">
        <w:rPr>
          <w:rFonts w:cs="Times New Roman"/>
          <w:sz w:val="24"/>
          <w:szCs w:val="24"/>
        </w:rPr>
        <w:t>this situation</w:t>
      </w:r>
      <w:r w:rsidR="006A7C1E">
        <w:rPr>
          <w:rFonts w:cs="Times New Roman"/>
          <w:sz w:val="24"/>
          <w:szCs w:val="24"/>
        </w:rPr>
        <w:t xml:space="preserve"> regarding high interchange fees</w:t>
      </w:r>
      <w:r w:rsidR="00DA7850" w:rsidRPr="00F867FF">
        <w:rPr>
          <w:rFonts w:cs="Times New Roman"/>
          <w:sz w:val="24"/>
          <w:szCs w:val="24"/>
        </w:rPr>
        <w:t xml:space="preserve">.  </w:t>
      </w:r>
      <w:r w:rsidR="00992A6C" w:rsidRPr="00F867FF">
        <w:rPr>
          <w:rFonts w:cs="Times New Roman"/>
          <w:sz w:val="24"/>
          <w:szCs w:val="24"/>
        </w:rPr>
        <w:t xml:space="preserve">It would require the largest credit card issuers, defined as those with assets over $100 billion, to allow at least two credit card networks to be used on their credit cards instead of just </w:t>
      </w:r>
      <w:r w:rsidR="00992A6C" w:rsidRPr="00F867FF">
        <w:rPr>
          <w:rFonts w:cs="Times New Roman"/>
          <w:sz w:val="24"/>
          <w:szCs w:val="24"/>
        </w:rPr>
        <w:lastRenderedPageBreak/>
        <w:t xml:space="preserve">one.  </w:t>
      </w:r>
      <w:r w:rsidR="00C16624" w:rsidRPr="00F867FF">
        <w:rPr>
          <w:rFonts w:cs="Times New Roman"/>
          <w:sz w:val="24"/>
          <w:szCs w:val="24"/>
        </w:rPr>
        <w:t>In addition</w:t>
      </w:r>
      <w:r w:rsidR="00992A6C" w:rsidRPr="00F867FF">
        <w:rPr>
          <w:rFonts w:cs="Times New Roman"/>
          <w:sz w:val="24"/>
          <w:szCs w:val="24"/>
        </w:rPr>
        <w:t xml:space="preserve">, at least one of those networks </w:t>
      </w:r>
      <w:r w:rsidR="00C16624" w:rsidRPr="00F867FF">
        <w:rPr>
          <w:rFonts w:cs="Times New Roman"/>
          <w:sz w:val="24"/>
          <w:szCs w:val="24"/>
        </w:rPr>
        <w:t xml:space="preserve">would have to be outside </w:t>
      </w:r>
      <w:r w:rsidR="00992A6C" w:rsidRPr="00F867FF">
        <w:rPr>
          <w:rFonts w:cs="Times New Roman"/>
          <w:sz w:val="24"/>
          <w:szCs w:val="24"/>
        </w:rPr>
        <w:t>the Visa</w:t>
      </w:r>
      <w:r w:rsidR="00C16624" w:rsidRPr="00F867FF">
        <w:rPr>
          <w:rFonts w:cs="Times New Roman"/>
          <w:sz w:val="24"/>
          <w:szCs w:val="24"/>
        </w:rPr>
        <w:t xml:space="preserve"> and </w:t>
      </w:r>
      <w:r w:rsidR="00992A6C" w:rsidRPr="00F867FF">
        <w:rPr>
          <w:rFonts w:cs="Times New Roman"/>
          <w:sz w:val="24"/>
          <w:szCs w:val="24"/>
        </w:rPr>
        <w:t xml:space="preserve">Mastercard duopoly. </w:t>
      </w:r>
      <w:r w:rsidR="00C16624" w:rsidRPr="00F867FF">
        <w:rPr>
          <w:rFonts w:cs="Times New Roman"/>
          <w:sz w:val="24"/>
          <w:szCs w:val="24"/>
        </w:rPr>
        <w:t xml:space="preserve"> A</w:t>
      </w:r>
      <w:r w:rsidR="00992A6C" w:rsidRPr="00F867FF">
        <w:rPr>
          <w:rFonts w:cs="Times New Roman"/>
          <w:sz w:val="24"/>
          <w:szCs w:val="24"/>
        </w:rPr>
        <w:t xml:space="preserve">fter a transition period during which the Federal Reserve would write implementing regulations, the </w:t>
      </w:r>
      <w:r w:rsidR="00C16624" w:rsidRPr="00F867FF">
        <w:rPr>
          <w:rFonts w:cs="Times New Roman"/>
          <w:sz w:val="24"/>
          <w:szCs w:val="24"/>
        </w:rPr>
        <w:t xml:space="preserve">large, too big to fail </w:t>
      </w:r>
      <w:r w:rsidR="00992A6C" w:rsidRPr="00F867FF">
        <w:rPr>
          <w:rFonts w:cs="Times New Roman"/>
          <w:sz w:val="24"/>
          <w:szCs w:val="24"/>
        </w:rPr>
        <w:t xml:space="preserve">banks that issue the overwhelming majority of Visa and Mastercard credit cards would have to choose a second competitive network to </w:t>
      </w:r>
      <w:r w:rsidR="00C16624" w:rsidRPr="00F867FF">
        <w:rPr>
          <w:rFonts w:cs="Times New Roman"/>
          <w:sz w:val="24"/>
          <w:szCs w:val="24"/>
        </w:rPr>
        <w:t xml:space="preserve">process transactions </w:t>
      </w:r>
      <w:r w:rsidR="00992A6C" w:rsidRPr="00F867FF">
        <w:rPr>
          <w:rFonts w:cs="Times New Roman"/>
          <w:sz w:val="24"/>
          <w:szCs w:val="24"/>
        </w:rPr>
        <w:t xml:space="preserve">on each </w:t>
      </w:r>
      <w:r w:rsidR="00C16624" w:rsidRPr="00F867FF">
        <w:rPr>
          <w:rFonts w:cs="Times New Roman"/>
          <w:sz w:val="24"/>
          <w:szCs w:val="24"/>
        </w:rPr>
        <w:t xml:space="preserve">credit </w:t>
      </w:r>
      <w:r w:rsidR="00992A6C" w:rsidRPr="00F867FF">
        <w:rPr>
          <w:rFonts w:cs="Times New Roman"/>
          <w:sz w:val="24"/>
          <w:szCs w:val="24"/>
        </w:rPr>
        <w:t>card, and then merchant</w:t>
      </w:r>
      <w:r w:rsidR="00C16624" w:rsidRPr="00F867FF">
        <w:rPr>
          <w:rFonts w:cs="Times New Roman"/>
          <w:sz w:val="24"/>
          <w:szCs w:val="24"/>
        </w:rPr>
        <w:t>s</w:t>
      </w:r>
      <w:r w:rsidR="00992A6C" w:rsidRPr="00F867FF">
        <w:rPr>
          <w:rFonts w:cs="Times New Roman"/>
          <w:sz w:val="24"/>
          <w:szCs w:val="24"/>
        </w:rPr>
        <w:t xml:space="preserve"> would </w:t>
      </w:r>
      <w:r w:rsidR="00C16624" w:rsidRPr="00F867FF">
        <w:rPr>
          <w:rFonts w:cs="Times New Roman"/>
          <w:sz w:val="24"/>
          <w:szCs w:val="24"/>
        </w:rPr>
        <w:t xml:space="preserve">be allowed </w:t>
      </w:r>
      <w:r w:rsidR="00992A6C" w:rsidRPr="00F867FF">
        <w:rPr>
          <w:rFonts w:cs="Times New Roman"/>
          <w:sz w:val="24"/>
          <w:szCs w:val="24"/>
        </w:rPr>
        <w:t xml:space="preserve">to </w:t>
      </w:r>
      <w:r w:rsidR="00C16624" w:rsidRPr="00F867FF">
        <w:rPr>
          <w:rFonts w:cs="Times New Roman"/>
          <w:sz w:val="24"/>
          <w:szCs w:val="24"/>
        </w:rPr>
        <w:t xml:space="preserve">determine </w:t>
      </w:r>
      <w:r w:rsidR="00992A6C" w:rsidRPr="00F867FF">
        <w:rPr>
          <w:rFonts w:cs="Times New Roman"/>
          <w:sz w:val="24"/>
          <w:szCs w:val="24"/>
        </w:rPr>
        <w:t xml:space="preserve">which of those networks to use to process a transaction. </w:t>
      </w:r>
      <w:r w:rsidR="00C16624" w:rsidRPr="00F867FF">
        <w:rPr>
          <w:rFonts w:cs="Times New Roman"/>
          <w:sz w:val="24"/>
          <w:szCs w:val="24"/>
        </w:rPr>
        <w:t xml:space="preserve"> </w:t>
      </w:r>
      <w:r w:rsidR="00992A6C" w:rsidRPr="00F867FF">
        <w:rPr>
          <w:rFonts w:cs="Times New Roman"/>
          <w:sz w:val="24"/>
          <w:szCs w:val="24"/>
        </w:rPr>
        <w:t>Th</w:t>
      </w:r>
      <w:r w:rsidR="00C16624" w:rsidRPr="00F867FF">
        <w:rPr>
          <w:rFonts w:cs="Times New Roman"/>
          <w:sz w:val="24"/>
          <w:szCs w:val="24"/>
        </w:rPr>
        <w:t>e</w:t>
      </w:r>
      <w:r w:rsidR="001C6A66" w:rsidRPr="00F867FF">
        <w:rPr>
          <w:rFonts w:cs="Times New Roman"/>
          <w:sz w:val="24"/>
          <w:szCs w:val="24"/>
        </w:rPr>
        <w:t xml:space="preserve"> </w:t>
      </w:r>
      <w:r w:rsidR="00C16624" w:rsidRPr="00F867FF">
        <w:rPr>
          <w:rFonts w:cs="Times New Roman"/>
          <w:sz w:val="24"/>
          <w:szCs w:val="24"/>
        </w:rPr>
        <w:t xml:space="preserve">sponsors of the CCC Act envision the additional network(s) as creating </w:t>
      </w:r>
      <w:r w:rsidR="00992A6C" w:rsidRPr="00F867FF">
        <w:rPr>
          <w:rFonts w:cs="Times New Roman"/>
          <w:sz w:val="24"/>
          <w:szCs w:val="24"/>
        </w:rPr>
        <w:t xml:space="preserve">competition between networks </w:t>
      </w:r>
      <w:r w:rsidR="00C16624" w:rsidRPr="00F867FF">
        <w:rPr>
          <w:rFonts w:cs="Times New Roman"/>
          <w:sz w:val="24"/>
          <w:szCs w:val="24"/>
        </w:rPr>
        <w:t xml:space="preserve">and providing </w:t>
      </w:r>
      <w:r w:rsidR="00992A6C" w:rsidRPr="00F867FF">
        <w:rPr>
          <w:rFonts w:cs="Times New Roman"/>
          <w:sz w:val="24"/>
          <w:szCs w:val="24"/>
        </w:rPr>
        <w:t xml:space="preserve">better service </w:t>
      </w:r>
      <w:r w:rsidR="00C16624" w:rsidRPr="00F867FF">
        <w:rPr>
          <w:rFonts w:cs="Times New Roman"/>
          <w:sz w:val="24"/>
          <w:szCs w:val="24"/>
        </w:rPr>
        <w:t>at a lower</w:t>
      </w:r>
      <w:r w:rsidR="00992A6C" w:rsidRPr="00F867FF">
        <w:rPr>
          <w:rFonts w:cs="Times New Roman"/>
          <w:sz w:val="24"/>
          <w:szCs w:val="24"/>
        </w:rPr>
        <w:t xml:space="preserve"> cost</w:t>
      </w:r>
      <w:r w:rsidR="00C16624" w:rsidRPr="00F867FF">
        <w:rPr>
          <w:rFonts w:cs="Times New Roman"/>
          <w:sz w:val="24"/>
          <w:szCs w:val="24"/>
        </w:rPr>
        <w:t xml:space="preserve">.  Sens. Durbin and Marshall point to a similar </w:t>
      </w:r>
      <w:r w:rsidR="00992A6C" w:rsidRPr="00F867FF">
        <w:rPr>
          <w:rFonts w:cs="Times New Roman"/>
          <w:sz w:val="24"/>
          <w:szCs w:val="24"/>
        </w:rPr>
        <w:t xml:space="preserve">federal law </w:t>
      </w:r>
      <w:r w:rsidR="00C16624" w:rsidRPr="00F867FF">
        <w:rPr>
          <w:rFonts w:cs="Times New Roman"/>
          <w:sz w:val="24"/>
          <w:szCs w:val="24"/>
        </w:rPr>
        <w:t xml:space="preserve">that </w:t>
      </w:r>
      <w:r w:rsidR="00992A6C" w:rsidRPr="00F867FF">
        <w:rPr>
          <w:rFonts w:cs="Times New Roman"/>
          <w:sz w:val="24"/>
          <w:szCs w:val="24"/>
        </w:rPr>
        <w:t xml:space="preserve">has </w:t>
      </w:r>
      <w:r w:rsidR="00C16624" w:rsidRPr="00F867FF">
        <w:rPr>
          <w:rFonts w:cs="Times New Roman"/>
          <w:sz w:val="24"/>
          <w:szCs w:val="24"/>
        </w:rPr>
        <w:t xml:space="preserve">been in effect </w:t>
      </w:r>
      <w:r w:rsidR="002A5651">
        <w:rPr>
          <w:rFonts w:cs="Times New Roman"/>
          <w:sz w:val="24"/>
          <w:szCs w:val="24"/>
        </w:rPr>
        <w:t>since 2010</w:t>
      </w:r>
      <w:r w:rsidR="006A0545">
        <w:rPr>
          <w:rFonts w:cs="Times New Roman"/>
          <w:sz w:val="24"/>
          <w:szCs w:val="24"/>
        </w:rPr>
        <w:t xml:space="preserve"> requiring </w:t>
      </w:r>
      <w:r w:rsidR="00992A6C" w:rsidRPr="00F867FF">
        <w:rPr>
          <w:rFonts w:cs="Times New Roman"/>
          <w:sz w:val="24"/>
          <w:szCs w:val="24"/>
        </w:rPr>
        <w:t xml:space="preserve">debit cards to carry at least two debit networks </w:t>
      </w:r>
      <w:r w:rsidR="001C6A66" w:rsidRPr="00F867FF">
        <w:rPr>
          <w:rFonts w:cs="Times New Roman"/>
          <w:sz w:val="24"/>
          <w:szCs w:val="24"/>
        </w:rPr>
        <w:t xml:space="preserve">as creating increased competition by </w:t>
      </w:r>
      <w:r w:rsidR="006A0545">
        <w:rPr>
          <w:rFonts w:cs="Times New Roman"/>
          <w:sz w:val="24"/>
          <w:szCs w:val="24"/>
        </w:rPr>
        <w:t>mandat</w:t>
      </w:r>
      <w:r w:rsidR="001C6A66" w:rsidRPr="00F867FF">
        <w:rPr>
          <w:rFonts w:cs="Times New Roman"/>
          <w:sz w:val="24"/>
          <w:szCs w:val="24"/>
        </w:rPr>
        <w:t xml:space="preserve">ing </w:t>
      </w:r>
      <w:r w:rsidR="00992A6C" w:rsidRPr="00F867FF">
        <w:rPr>
          <w:rFonts w:cs="Times New Roman"/>
          <w:sz w:val="24"/>
          <w:szCs w:val="24"/>
        </w:rPr>
        <w:t>a choice of debit networks</w:t>
      </w:r>
      <w:r w:rsidR="001C6A66" w:rsidRPr="00F867FF">
        <w:rPr>
          <w:rFonts w:cs="Times New Roman"/>
          <w:sz w:val="24"/>
          <w:szCs w:val="24"/>
        </w:rPr>
        <w:t xml:space="preserve">.  They assert that the federal law applying to debit cards also led to </w:t>
      </w:r>
      <w:r w:rsidR="00992A6C" w:rsidRPr="00F867FF">
        <w:rPr>
          <w:rFonts w:cs="Times New Roman"/>
          <w:sz w:val="24"/>
          <w:szCs w:val="24"/>
        </w:rPr>
        <w:t xml:space="preserve">innovation in the debit </w:t>
      </w:r>
      <w:r w:rsidR="006A7C1E">
        <w:rPr>
          <w:rFonts w:cs="Times New Roman"/>
          <w:sz w:val="24"/>
          <w:szCs w:val="24"/>
        </w:rPr>
        <w:t xml:space="preserve">card </w:t>
      </w:r>
      <w:r w:rsidR="00992A6C" w:rsidRPr="00F867FF">
        <w:rPr>
          <w:rFonts w:cs="Times New Roman"/>
          <w:sz w:val="24"/>
          <w:szCs w:val="24"/>
        </w:rPr>
        <w:t xml:space="preserve">network market and has helped hold down </w:t>
      </w:r>
      <w:r w:rsidR="001C6A66" w:rsidRPr="00F867FF">
        <w:rPr>
          <w:rFonts w:cs="Times New Roman"/>
          <w:sz w:val="24"/>
          <w:szCs w:val="24"/>
        </w:rPr>
        <w:t xml:space="preserve">debit card </w:t>
      </w:r>
      <w:r w:rsidR="00992A6C" w:rsidRPr="00F867FF">
        <w:rPr>
          <w:rFonts w:cs="Times New Roman"/>
          <w:sz w:val="24"/>
          <w:szCs w:val="24"/>
        </w:rPr>
        <w:t xml:space="preserve">fees. </w:t>
      </w:r>
      <w:r w:rsidR="001C6A66" w:rsidRPr="00F867FF">
        <w:rPr>
          <w:rFonts w:cs="Times New Roman"/>
          <w:sz w:val="24"/>
          <w:szCs w:val="24"/>
        </w:rPr>
        <w:t xml:space="preserve"> </w:t>
      </w:r>
      <w:r w:rsidR="002A5651">
        <w:rPr>
          <w:rFonts w:cs="Times New Roman"/>
          <w:sz w:val="24"/>
          <w:szCs w:val="24"/>
        </w:rPr>
        <w:t>It is worth noting</w:t>
      </w:r>
      <w:r w:rsidR="006A7C1E">
        <w:rPr>
          <w:rFonts w:cs="Times New Roman"/>
          <w:sz w:val="24"/>
          <w:szCs w:val="24"/>
        </w:rPr>
        <w:t>, however,</w:t>
      </w:r>
      <w:r w:rsidR="002A5651">
        <w:rPr>
          <w:rFonts w:cs="Times New Roman"/>
          <w:sz w:val="24"/>
          <w:szCs w:val="24"/>
        </w:rPr>
        <w:t xml:space="preserve"> that banks recouped most of the lost debit card fees estimated to be around $14 billion annually by increasing fees on checking accounts.  Such is the nature of our fundamentally extractive financial institutions.</w:t>
      </w:r>
    </w:p>
    <w:p w14:paraId="24BAC110" w14:textId="084CCF1E" w:rsidR="00C17E0F" w:rsidRDefault="00992A6C" w:rsidP="00F81E66">
      <w:pPr>
        <w:pStyle w:val="Text"/>
        <w:ind w:firstLine="720"/>
        <w:rPr>
          <w:rFonts w:cs="Times New Roman"/>
          <w:sz w:val="24"/>
          <w:szCs w:val="24"/>
        </w:rPr>
      </w:pPr>
      <w:r w:rsidRPr="00F867FF">
        <w:rPr>
          <w:rFonts w:cs="Times New Roman"/>
          <w:sz w:val="24"/>
          <w:szCs w:val="24"/>
        </w:rPr>
        <w:t xml:space="preserve">The </w:t>
      </w:r>
      <w:r w:rsidR="001C6A66" w:rsidRPr="00F867FF">
        <w:rPr>
          <w:rFonts w:cs="Times New Roman"/>
          <w:sz w:val="24"/>
          <w:szCs w:val="24"/>
        </w:rPr>
        <w:t xml:space="preserve">CCC Act would apply to roughly the 30 largest banks and credit unions in the US; the </w:t>
      </w:r>
      <w:r w:rsidRPr="00F867FF">
        <w:rPr>
          <w:rFonts w:cs="Times New Roman"/>
          <w:sz w:val="24"/>
          <w:szCs w:val="24"/>
        </w:rPr>
        <w:t xml:space="preserve">vast majority of </w:t>
      </w:r>
      <w:r w:rsidR="001C6A66" w:rsidRPr="00F867FF">
        <w:rPr>
          <w:rFonts w:cs="Times New Roman"/>
          <w:sz w:val="24"/>
          <w:szCs w:val="24"/>
        </w:rPr>
        <w:t xml:space="preserve">financial institutions </w:t>
      </w:r>
      <w:r w:rsidRPr="00F867FF">
        <w:rPr>
          <w:rFonts w:cs="Times New Roman"/>
          <w:sz w:val="24"/>
          <w:szCs w:val="24"/>
        </w:rPr>
        <w:t xml:space="preserve">would not be subject to the bill’s requirement to add a second credit card network. </w:t>
      </w:r>
      <w:r w:rsidR="001C6A66" w:rsidRPr="00F867FF">
        <w:rPr>
          <w:rFonts w:cs="Times New Roman"/>
          <w:sz w:val="24"/>
          <w:szCs w:val="24"/>
        </w:rPr>
        <w:t xml:space="preserve"> </w:t>
      </w:r>
      <w:r w:rsidRPr="00F867FF">
        <w:rPr>
          <w:rFonts w:cs="Times New Roman"/>
          <w:sz w:val="24"/>
          <w:szCs w:val="24"/>
        </w:rPr>
        <w:t>A</w:t>
      </w:r>
      <w:r w:rsidR="001C6A66" w:rsidRPr="00F867FF">
        <w:rPr>
          <w:rFonts w:cs="Times New Roman"/>
          <w:sz w:val="24"/>
          <w:szCs w:val="24"/>
        </w:rPr>
        <w:t xml:space="preserve">dditionally, credit </w:t>
      </w:r>
      <w:r w:rsidRPr="00F867FF">
        <w:rPr>
          <w:rFonts w:cs="Times New Roman"/>
          <w:sz w:val="24"/>
          <w:szCs w:val="24"/>
        </w:rPr>
        <w:t>cards where the network itself</w:t>
      </w:r>
      <w:r w:rsidR="001C6A66" w:rsidRPr="00F867FF">
        <w:rPr>
          <w:rFonts w:cs="Times New Roman"/>
          <w:sz w:val="24"/>
          <w:szCs w:val="24"/>
        </w:rPr>
        <w:t xml:space="preserve"> is </w:t>
      </w:r>
      <w:r w:rsidRPr="00F867FF">
        <w:rPr>
          <w:rFonts w:cs="Times New Roman"/>
          <w:sz w:val="24"/>
          <w:szCs w:val="24"/>
        </w:rPr>
        <w:t>the card issuer (such as American Express and Discover cards) would not be required to add a second network</w:t>
      </w:r>
      <w:r w:rsidR="001C6A66" w:rsidRPr="00F867FF">
        <w:rPr>
          <w:rFonts w:cs="Times New Roman"/>
          <w:sz w:val="24"/>
          <w:szCs w:val="24"/>
        </w:rPr>
        <w:t>, al</w:t>
      </w:r>
      <w:r w:rsidRPr="00F867FF">
        <w:rPr>
          <w:rFonts w:cs="Times New Roman"/>
          <w:sz w:val="24"/>
          <w:szCs w:val="24"/>
        </w:rPr>
        <w:t xml:space="preserve">though AmEx and Discover could serve as a second network on </w:t>
      </w:r>
      <w:r w:rsidR="001C6A66" w:rsidRPr="00F867FF">
        <w:rPr>
          <w:rFonts w:cs="Times New Roman"/>
          <w:sz w:val="24"/>
          <w:szCs w:val="24"/>
        </w:rPr>
        <w:t xml:space="preserve">credit cards issued by other </w:t>
      </w:r>
      <w:r w:rsidRPr="00F867FF">
        <w:rPr>
          <w:rFonts w:cs="Times New Roman"/>
          <w:sz w:val="24"/>
          <w:szCs w:val="24"/>
        </w:rPr>
        <w:t xml:space="preserve">banks). </w:t>
      </w:r>
      <w:r w:rsidR="001C6A66" w:rsidRPr="00F867FF">
        <w:rPr>
          <w:rFonts w:cs="Times New Roman"/>
          <w:sz w:val="24"/>
          <w:szCs w:val="24"/>
        </w:rPr>
        <w:t xml:space="preserve"> The CCC Act does not mandate the use of </w:t>
      </w:r>
      <w:r w:rsidRPr="00F867FF">
        <w:rPr>
          <w:rFonts w:cs="Times New Roman"/>
          <w:sz w:val="24"/>
          <w:szCs w:val="24"/>
        </w:rPr>
        <w:t xml:space="preserve">any </w:t>
      </w:r>
      <w:r w:rsidR="001C6A66" w:rsidRPr="00F867FF">
        <w:rPr>
          <w:rFonts w:cs="Times New Roman"/>
          <w:sz w:val="24"/>
          <w:szCs w:val="24"/>
        </w:rPr>
        <w:t xml:space="preserve">specific </w:t>
      </w:r>
      <w:r w:rsidRPr="00F867FF">
        <w:rPr>
          <w:rFonts w:cs="Times New Roman"/>
          <w:sz w:val="24"/>
          <w:szCs w:val="24"/>
        </w:rPr>
        <w:t xml:space="preserve">network to </w:t>
      </w:r>
      <w:r w:rsidR="00AC3561">
        <w:rPr>
          <w:rFonts w:cs="Times New Roman"/>
          <w:sz w:val="24"/>
          <w:szCs w:val="24"/>
        </w:rPr>
        <w:t xml:space="preserve">the </w:t>
      </w:r>
      <w:r w:rsidRPr="00F867FF">
        <w:rPr>
          <w:rFonts w:cs="Times New Roman"/>
          <w:sz w:val="24"/>
          <w:szCs w:val="24"/>
        </w:rPr>
        <w:t>cards</w:t>
      </w:r>
      <w:r w:rsidR="001C6A66" w:rsidRPr="00F867FF">
        <w:rPr>
          <w:rFonts w:cs="Times New Roman"/>
          <w:sz w:val="24"/>
          <w:szCs w:val="24"/>
        </w:rPr>
        <w:t xml:space="preserve"> that a bank may issue.  B</w:t>
      </w:r>
      <w:r w:rsidRPr="00F867FF">
        <w:rPr>
          <w:rFonts w:cs="Times New Roman"/>
          <w:sz w:val="24"/>
          <w:szCs w:val="24"/>
        </w:rPr>
        <w:t xml:space="preserve">anks would </w:t>
      </w:r>
      <w:r w:rsidR="001C6A66" w:rsidRPr="00F867FF">
        <w:rPr>
          <w:rFonts w:cs="Times New Roman"/>
          <w:sz w:val="24"/>
          <w:szCs w:val="24"/>
        </w:rPr>
        <w:t xml:space="preserve">be free to </w:t>
      </w:r>
      <w:r w:rsidRPr="00F867FF">
        <w:rPr>
          <w:rFonts w:cs="Times New Roman"/>
          <w:sz w:val="24"/>
          <w:szCs w:val="24"/>
        </w:rPr>
        <w:t>select which second network to add, as they currently do for debit cards, based on the service, security, and value that networks offer</w:t>
      </w:r>
      <w:r w:rsidR="001C6A66" w:rsidRPr="00F867FF">
        <w:rPr>
          <w:rFonts w:cs="Times New Roman"/>
          <w:sz w:val="24"/>
          <w:szCs w:val="24"/>
        </w:rPr>
        <w:t xml:space="preserve">.  The CCC Act does </w:t>
      </w:r>
      <w:r w:rsidRPr="00F867FF">
        <w:rPr>
          <w:rFonts w:cs="Times New Roman"/>
          <w:sz w:val="24"/>
          <w:szCs w:val="24"/>
        </w:rPr>
        <w:t>direct the Federal Reserve to identify a list of card networks that could not be added because they pose a national security threat or are owned or operated by foreign state entities</w:t>
      </w:r>
      <w:r w:rsidR="001C6A66" w:rsidRPr="00F867FF">
        <w:rPr>
          <w:rFonts w:cs="Times New Roman"/>
          <w:sz w:val="24"/>
          <w:szCs w:val="24"/>
        </w:rPr>
        <w:t>, however</w:t>
      </w:r>
      <w:r w:rsidRPr="00F867FF">
        <w:rPr>
          <w:rFonts w:cs="Times New Roman"/>
          <w:sz w:val="24"/>
          <w:szCs w:val="24"/>
        </w:rPr>
        <w:t>.</w:t>
      </w:r>
      <w:r w:rsidR="00F81E66" w:rsidRPr="00F867FF">
        <w:rPr>
          <w:rFonts w:cs="Times New Roman"/>
          <w:sz w:val="24"/>
          <w:szCs w:val="24"/>
        </w:rPr>
        <w:t xml:space="preserve"> </w:t>
      </w:r>
      <w:r w:rsidRPr="00F867FF">
        <w:rPr>
          <w:rFonts w:cs="Times New Roman"/>
          <w:sz w:val="24"/>
          <w:szCs w:val="24"/>
        </w:rPr>
        <w:t xml:space="preserve"> </w:t>
      </w:r>
      <w:r w:rsidR="00F81E66" w:rsidRPr="00F867FF">
        <w:rPr>
          <w:rFonts w:cs="Times New Roman"/>
          <w:sz w:val="24"/>
          <w:szCs w:val="24"/>
        </w:rPr>
        <w:t xml:space="preserve">If the proposed law acts as envisioned, the </w:t>
      </w:r>
      <w:r w:rsidRPr="00F867FF">
        <w:rPr>
          <w:rFonts w:cs="Times New Roman"/>
          <w:sz w:val="24"/>
          <w:szCs w:val="24"/>
        </w:rPr>
        <w:t xml:space="preserve">second network </w:t>
      </w:r>
      <w:r w:rsidR="00F81E66" w:rsidRPr="00F867FF">
        <w:rPr>
          <w:rFonts w:cs="Times New Roman"/>
          <w:sz w:val="24"/>
          <w:szCs w:val="24"/>
        </w:rPr>
        <w:t xml:space="preserve">would create competition, and all </w:t>
      </w:r>
      <w:r w:rsidRPr="00F867FF">
        <w:rPr>
          <w:rFonts w:cs="Times New Roman"/>
          <w:sz w:val="24"/>
          <w:szCs w:val="24"/>
        </w:rPr>
        <w:t xml:space="preserve">networks would have </w:t>
      </w:r>
      <w:r w:rsidR="00F81E66" w:rsidRPr="00F867FF">
        <w:rPr>
          <w:rFonts w:cs="Times New Roman"/>
          <w:sz w:val="24"/>
          <w:szCs w:val="24"/>
        </w:rPr>
        <w:t xml:space="preserve">an </w:t>
      </w:r>
      <w:r w:rsidRPr="00F867FF">
        <w:rPr>
          <w:rFonts w:cs="Times New Roman"/>
          <w:sz w:val="24"/>
          <w:szCs w:val="24"/>
        </w:rPr>
        <w:t xml:space="preserve">incentive to hold down their merchant fees </w:t>
      </w:r>
      <w:r w:rsidR="00F81E66" w:rsidRPr="00F867FF">
        <w:rPr>
          <w:rFonts w:cs="Times New Roman"/>
          <w:sz w:val="24"/>
          <w:szCs w:val="24"/>
        </w:rPr>
        <w:t xml:space="preserve">to convince </w:t>
      </w:r>
      <w:r w:rsidRPr="00F867FF">
        <w:rPr>
          <w:rFonts w:cs="Times New Roman"/>
          <w:sz w:val="24"/>
          <w:szCs w:val="24"/>
        </w:rPr>
        <w:t xml:space="preserve">merchants to choose to route transactions over their network instead of the other network on the card. </w:t>
      </w:r>
      <w:r w:rsidR="00F81E66" w:rsidRPr="00F867FF">
        <w:rPr>
          <w:rFonts w:cs="Times New Roman"/>
          <w:sz w:val="24"/>
          <w:szCs w:val="24"/>
        </w:rPr>
        <w:t xml:space="preserve"> </w:t>
      </w:r>
    </w:p>
    <w:p w14:paraId="449F5702" w14:textId="6646846F" w:rsidR="00992A6C" w:rsidRPr="00F867FF" w:rsidRDefault="002A5651" w:rsidP="00F81E66">
      <w:pPr>
        <w:pStyle w:val="Text"/>
        <w:ind w:firstLine="720"/>
        <w:rPr>
          <w:rFonts w:cs="Times New Roman"/>
          <w:sz w:val="24"/>
          <w:szCs w:val="24"/>
        </w:rPr>
      </w:pPr>
      <w:r>
        <w:rPr>
          <w:rFonts w:cs="Times New Roman"/>
          <w:sz w:val="24"/>
          <w:szCs w:val="24"/>
        </w:rPr>
        <w:t>Th</w:t>
      </w:r>
      <w:r w:rsidR="00C17E0F">
        <w:rPr>
          <w:rFonts w:cs="Times New Roman"/>
          <w:sz w:val="24"/>
          <w:szCs w:val="24"/>
        </w:rPr>
        <w:t xml:space="preserve">e additional competition </w:t>
      </w:r>
      <w:r>
        <w:rPr>
          <w:rFonts w:cs="Times New Roman"/>
          <w:sz w:val="24"/>
          <w:szCs w:val="24"/>
        </w:rPr>
        <w:t xml:space="preserve">may sound </w:t>
      </w:r>
      <w:r w:rsidR="00C17E0F">
        <w:rPr>
          <w:rFonts w:cs="Times New Roman"/>
          <w:sz w:val="24"/>
          <w:szCs w:val="24"/>
        </w:rPr>
        <w:t xml:space="preserve">good in theory, but the ultimate consequences of the CCC Act are unclear.  </w:t>
      </w:r>
      <w:r w:rsidR="00F81E66" w:rsidRPr="00F867FF">
        <w:rPr>
          <w:rFonts w:cs="Times New Roman"/>
          <w:sz w:val="24"/>
          <w:szCs w:val="24"/>
        </w:rPr>
        <w:t xml:space="preserve">The high interchange fees that the Visa and Mastercard duopoly charge is proof enough </w:t>
      </w:r>
      <w:r w:rsidR="006A7C1E">
        <w:rPr>
          <w:rFonts w:cs="Times New Roman"/>
          <w:sz w:val="24"/>
          <w:szCs w:val="24"/>
        </w:rPr>
        <w:t xml:space="preserve">that </w:t>
      </w:r>
      <w:r w:rsidR="00F81E66" w:rsidRPr="00F867FF">
        <w:rPr>
          <w:rFonts w:cs="Times New Roman"/>
          <w:sz w:val="24"/>
          <w:szCs w:val="24"/>
        </w:rPr>
        <w:t>the current system is anti-competitive</w:t>
      </w:r>
      <w:r w:rsidR="00992A6C" w:rsidRPr="00F867FF">
        <w:rPr>
          <w:rFonts w:cs="Times New Roman"/>
          <w:sz w:val="24"/>
          <w:szCs w:val="24"/>
        </w:rPr>
        <w:t xml:space="preserve">. </w:t>
      </w:r>
      <w:r>
        <w:rPr>
          <w:rFonts w:cs="Times New Roman"/>
          <w:sz w:val="24"/>
          <w:szCs w:val="24"/>
        </w:rPr>
        <w:t xml:space="preserve"> </w:t>
      </w:r>
      <w:r w:rsidR="00C17E0F">
        <w:rPr>
          <w:rFonts w:cs="Times New Roman"/>
          <w:sz w:val="24"/>
          <w:szCs w:val="24"/>
        </w:rPr>
        <w:t>That is beyond dispute.  If lowering such fees is the goal, however, the simplest approach would be to do what most of the rest of the world has done and impose some statutory caps.  Apparently, such an approach would be too simple</w:t>
      </w:r>
      <w:r w:rsidR="00953D8A">
        <w:rPr>
          <w:rFonts w:cs="Times New Roman"/>
          <w:sz w:val="24"/>
          <w:szCs w:val="24"/>
        </w:rPr>
        <w:t xml:space="preserve"> and targeted</w:t>
      </w:r>
      <w:r w:rsidR="00C17E0F">
        <w:rPr>
          <w:rFonts w:cs="Times New Roman"/>
          <w:sz w:val="24"/>
          <w:szCs w:val="24"/>
        </w:rPr>
        <w:t>, so the CCC Act seeks to create competition that may or may not materialize.</w:t>
      </w:r>
    </w:p>
    <w:p w14:paraId="2431C982" w14:textId="54272BD5" w:rsidR="000F2003" w:rsidRDefault="00C17E0F" w:rsidP="00F81E66">
      <w:pPr>
        <w:pStyle w:val="Text"/>
        <w:ind w:firstLine="720"/>
        <w:rPr>
          <w:rFonts w:cs="Times New Roman"/>
          <w:sz w:val="24"/>
          <w:szCs w:val="24"/>
        </w:rPr>
      </w:pPr>
      <w:r>
        <w:rPr>
          <w:rFonts w:cs="Times New Roman"/>
          <w:sz w:val="24"/>
          <w:szCs w:val="24"/>
        </w:rPr>
        <w:t>If the CCC Act becomes law, t</w:t>
      </w:r>
      <w:r w:rsidR="00F81E66" w:rsidRPr="00F867FF">
        <w:rPr>
          <w:rFonts w:cs="Times New Roman"/>
          <w:sz w:val="24"/>
          <w:szCs w:val="24"/>
        </w:rPr>
        <w:t xml:space="preserve">he total annual savings to merchants from lower interchange fees </w:t>
      </w:r>
      <w:r>
        <w:rPr>
          <w:rFonts w:cs="Times New Roman"/>
          <w:sz w:val="24"/>
          <w:szCs w:val="24"/>
        </w:rPr>
        <w:t xml:space="preserve">should be meaningful.  </w:t>
      </w:r>
      <w:r w:rsidR="002A5651">
        <w:rPr>
          <w:rFonts w:cs="Times New Roman"/>
          <w:sz w:val="24"/>
          <w:szCs w:val="24"/>
        </w:rPr>
        <w:t>Various</w:t>
      </w:r>
      <w:r w:rsidR="00F81E66" w:rsidRPr="00F867FF">
        <w:rPr>
          <w:rFonts w:cs="Times New Roman"/>
          <w:sz w:val="24"/>
          <w:szCs w:val="24"/>
        </w:rPr>
        <w:t xml:space="preserve"> estimate</w:t>
      </w:r>
      <w:r w:rsidR="002A5651">
        <w:rPr>
          <w:rFonts w:cs="Times New Roman"/>
          <w:sz w:val="24"/>
          <w:szCs w:val="24"/>
        </w:rPr>
        <w:t>s</w:t>
      </w:r>
      <w:r w:rsidR="00F81E66" w:rsidRPr="00F867FF">
        <w:rPr>
          <w:rFonts w:cs="Times New Roman"/>
          <w:sz w:val="24"/>
          <w:szCs w:val="24"/>
        </w:rPr>
        <w:t xml:space="preserve"> put that amount at about $</w:t>
      </w:r>
      <w:r>
        <w:rPr>
          <w:rFonts w:cs="Times New Roman"/>
          <w:sz w:val="24"/>
          <w:szCs w:val="24"/>
        </w:rPr>
        <w:t>1</w:t>
      </w:r>
      <w:r w:rsidR="00F81E66" w:rsidRPr="00F867FF">
        <w:rPr>
          <w:rFonts w:cs="Times New Roman"/>
          <w:sz w:val="24"/>
          <w:szCs w:val="24"/>
        </w:rPr>
        <w:t>1</w:t>
      </w:r>
      <w:r w:rsidR="00F94BBA">
        <w:rPr>
          <w:rFonts w:cs="Times New Roman"/>
          <w:sz w:val="24"/>
          <w:szCs w:val="24"/>
        </w:rPr>
        <w:t>-1</w:t>
      </w:r>
      <w:r w:rsidR="002A5651">
        <w:rPr>
          <w:rFonts w:cs="Times New Roman"/>
          <w:sz w:val="24"/>
          <w:szCs w:val="24"/>
        </w:rPr>
        <w:t>5</w:t>
      </w:r>
      <w:r w:rsidR="00F81E66" w:rsidRPr="00F867FF">
        <w:rPr>
          <w:rFonts w:cs="Times New Roman"/>
          <w:sz w:val="24"/>
          <w:szCs w:val="24"/>
        </w:rPr>
        <w:t xml:space="preserve"> billion, which should help merchants and retailers</w:t>
      </w:r>
      <w:r w:rsidR="002A5651">
        <w:rPr>
          <w:rFonts w:cs="Times New Roman"/>
          <w:sz w:val="24"/>
          <w:szCs w:val="24"/>
        </w:rPr>
        <w:t xml:space="preserve"> (especially the big box retailers)</w:t>
      </w:r>
      <w:r w:rsidR="00F81E66" w:rsidRPr="00F867FF">
        <w:rPr>
          <w:rFonts w:cs="Times New Roman"/>
          <w:sz w:val="24"/>
          <w:szCs w:val="24"/>
        </w:rPr>
        <w:t xml:space="preserve">, but it should not have </w:t>
      </w:r>
      <w:r w:rsidR="007F4483">
        <w:rPr>
          <w:rFonts w:cs="Times New Roman"/>
          <w:sz w:val="24"/>
          <w:szCs w:val="24"/>
        </w:rPr>
        <w:t xml:space="preserve">much of an </w:t>
      </w:r>
      <w:r w:rsidR="00F81E66" w:rsidRPr="00F867FF">
        <w:rPr>
          <w:rFonts w:cs="Times New Roman"/>
          <w:sz w:val="24"/>
          <w:szCs w:val="24"/>
        </w:rPr>
        <w:t>effect on banks and credit card issuers</w:t>
      </w:r>
      <w:r w:rsidR="000F2003">
        <w:rPr>
          <w:rFonts w:cs="Times New Roman"/>
          <w:sz w:val="24"/>
          <w:szCs w:val="24"/>
        </w:rPr>
        <w:t xml:space="preserve">, as it represents less than 10 percent of total annual interchange fees of about </w:t>
      </w:r>
      <w:r w:rsidR="007F4483">
        <w:rPr>
          <w:rFonts w:cs="Times New Roman"/>
          <w:sz w:val="24"/>
          <w:szCs w:val="24"/>
        </w:rPr>
        <w:t xml:space="preserve">$172 </w:t>
      </w:r>
      <w:r w:rsidR="000F2003">
        <w:rPr>
          <w:rFonts w:cs="Times New Roman"/>
          <w:sz w:val="24"/>
          <w:szCs w:val="24"/>
        </w:rPr>
        <w:t xml:space="preserve">billion.  </w:t>
      </w:r>
      <w:r w:rsidR="00F81E66" w:rsidRPr="00F867FF">
        <w:rPr>
          <w:rFonts w:cs="Times New Roman"/>
          <w:sz w:val="24"/>
          <w:szCs w:val="24"/>
        </w:rPr>
        <w:t xml:space="preserve">If one had to guess, the effect on prices charged to consumers would be minimal, </w:t>
      </w:r>
      <w:r w:rsidR="00F94BBA">
        <w:rPr>
          <w:rFonts w:cs="Times New Roman"/>
          <w:sz w:val="24"/>
          <w:szCs w:val="24"/>
        </w:rPr>
        <w:t xml:space="preserve">at least initially, </w:t>
      </w:r>
      <w:r w:rsidR="00F81E66" w:rsidRPr="00F867FF">
        <w:rPr>
          <w:rFonts w:cs="Times New Roman"/>
          <w:sz w:val="24"/>
          <w:szCs w:val="24"/>
        </w:rPr>
        <w:t xml:space="preserve">as merchants would probably retain most of the cost savings.  </w:t>
      </w:r>
    </w:p>
    <w:p w14:paraId="49FBB3AB" w14:textId="6F05B9F7" w:rsidR="00B75108" w:rsidRDefault="00F867FF" w:rsidP="000F2003">
      <w:pPr>
        <w:pStyle w:val="Text"/>
        <w:ind w:firstLine="720"/>
        <w:rPr>
          <w:rFonts w:cs="Times New Roman"/>
          <w:sz w:val="24"/>
          <w:szCs w:val="24"/>
        </w:rPr>
      </w:pPr>
      <w:r w:rsidRPr="00F867FF">
        <w:rPr>
          <w:rFonts w:cs="Times New Roman"/>
          <w:sz w:val="24"/>
          <w:szCs w:val="24"/>
        </w:rPr>
        <w:t xml:space="preserve">Perhaps the most important consequence of the CCC Act, intended or not, would be on credit card reward programs.  </w:t>
      </w:r>
      <w:r w:rsidR="00F94BBA">
        <w:rPr>
          <w:rFonts w:cs="Times New Roman"/>
          <w:sz w:val="24"/>
          <w:szCs w:val="24"/>
        </w:rPr>
        <w:t>As matters stand now, t</w:t>
      </w:r>
      <w:r>
        <w:rPr>
          <w:rFonts w:cs="Times New Roman"/>
          <w:sz w:val="24"/>
          <w:szCs w:val="24"/>
        </w:rPr>
        <w:t xml:space="preserve">he largest component of the </w:t>
      </w:r>
      <w:r>
        <w:rPr>
          <w:rFonts w:cs="Times New Roman"/>
          <w:sz w:val="24"/>
          <w:szCs w:val="24"/>
        </w:rPr>
        <w:lastRenderedPageBreak/>
        <w:t xml:space="preserve">network interchange fee merchants pay goes to finance credit card rewards programs.  In turn, these rewards programs generate more transactions on such rewards cards.  This means that merchants end up financing rewards programs, albeit indirectly, but they derive no tangible benefit from them.  Instead of producing additional sales for merchants, rewards </w:t>
      </w:r>
      <w:r w:rsidR="00313E67">
        <w:rPr>
          <w:rFonts w:cs="Times New Roman"/>
          <w:sz w:val="24"/>
          <w:szCs w:val="24"/>
        </w:rPr>
        <w:t xml:space="preserve">programs reduce merchant profits by motivating consumers to shift transactions from cheaper payment systems to the more expensive cards with rewards programs.  Even though they finance rewards programs, </w:t>
      </w:r>
      <w:r w:rsidR="006A7C1E">
        <w:rPr>
          <w:rFonts w:cs="Times New Roman"/>
          <w:sz w:val="24"/>
          <w:szCs w:val="24"/>
        </w:rPr>
        <w:t xml:space="preserve">Visa and Mastercard often prohibit </w:t>
      </w:r>
      <w:r w:rsidR="00755390">
        <w:rPr>
          <w:rFonts w:cs="Times New Roman"/>
          <w:sz w:val="24"/>
          <w:szCs w:val="24"/>
        </w:rPr>
        <w:t xml:space="preserve">merchants from </w:t>
      </w:r>
      <w:r w:rsidR="00313E67">
        <w:rPr>
          <w:rFonts w:cs="Times New Roman"/>
          <w:sz w:val="24"/>
          <w:szCs w:val="24"/>
        </w:rPr>
        <w:t>charg</w:t>
      </w:r>
      <w:r w:rsidR="00755390">
        <w:rPr>
          <w:rFonts w:cs="Times New Roman"/>
          <w:sz w:val="24"/>
          <w:szCs w:val="24"/>
        </w:rPr>
        <w:t>i</w:t>
      </w:r>
      <w:r w:rsidR="002D69FC">
        <w:rPr>
          <w:rFonts w:cs="Times New Roman"/>
          <w:sz w:val="24"/>
          <w:szCs w:val="24"/>
        </w:rPr>
        <w:t xml:space="preserve">ng </w:t>
      </w:r>
      <w:r w:rsidR="00313E67">
        <w:rPr>
          <w:rFonts w:cs="Times New Roman"/>
          <w:sz w:val="24"/>
          <w:szCs w:val="24"/>
        </w:rPr>
        <w:t xml:space="preserve">consumers higher prices based on means of payment due to merchant restraint rules that prevent them from accepting certain cards selectively or charging higher prices to customers who use them.  According to </w:t>
      </w:r>
      <w:r w:rsidR="00F07DB8">
        <w:rPr>
          <w:rFonts w:cs="Times New Roman"/>
          <w:sz w:val="24"/>
          <w:szCs w:val="24"/>
        </w:rPr>
        <w:t xml:space="preserve">Georgetown University </w:t>
      </w:r>
      <w:r w:rsidR="00313E67">
        <w:rPr>
          <w:rFonts w:cs="Times New Roman"/>
          <w:sz w:val="24"/>
          <w:szCs w:val="24"/>
        </w:rPr>
        <w:t xml:space="preserve">commercial and bankruptcy law expert Professor Adam Levitin, merchant restraint rules </w:t>
      </w:r>
      <w:r w:rsidR="00B75108">
        <w:rPr>
          <w:rFonts w:cs="Times New Roman"/>
          <w:sz w:val="24"/>
          <w:szCs w:val="24"/>
        </w:rPr>
        <w:t>“</w:t>
      </w:r>
      <w:r w:rsidR="00313E67">
        <w:rPr>
          <w:rFonts w:cs="Times New Roman"/>
          <w:sz w:val="24"/>
          <w:szCs w:val="24"/>
        </w:rPr>
        <w:t xml:space="preserve">encourage more </w:t>
      </w:r>
      <w:r w:rsidR="00B75108">
        <w:rPr>
          <w:rFonts w:cs="Times New Roman"/>
          <w:sz w:val="24"/>
          <w:szCs w:val="24"/>
        </w:rPr>
        <w:t>credit card transactions at a higher price than would occur in a perfectly efficient market.  The restraints also permit card issuers to externalize the costs of rewards programs to merchants and, ultimately, to consumers who do not use rewards cards.</w:t>
      </w:r>
      <w:r w:rsidR="00755390">
        <w:rPr>
          <w:rFonts w:cs="Times New Roman"/>
          <w:sz w:val="24"/>
          <w:szCs w:val="24"/>
        </w:rPr>
        <w:t>”</w:t>
      </w:r>
      <w:r w:rsidR="00B75108">
        <w:rPr>
          <w:rFonts w:cs="Times New Roman"/>
          <w:sz w:val="24"/>
          <w:szCs w:val="24"/>
        </w:rPr>
        <w:t xml:space="preserve">  </w:t>
      </w:r>
      <w:r w:rsidR="00755390">
        <w:rPr>
          <w:rFonts w:cs="Times New Roman"/>
          <w:sz w:val="24"/>
          <w:szCs w:val="24"/>
        </w:rPr>
        <w:t xml:space="preserve">Likewise, </w:t>
      </w:r>
      <w:r w:rsidR="00B75108">
        <w:rPr>
          <w:rFonts w:cs="Times New Roman"/>
          <w:sz w:val="24"/>
          <w:szCs w:val="24"/>
        </w:rPr>
        <w:t xml:space="preserve">a </w:t>
      </w:r>
      <w:r w:rsidR="0085174D">
        <w:rPr>
          <w:rFonts w:cs="Times New Roman"/>
          <w:sz w:val="24"/>
          <w:szCs w:val="24"/>
        </w:rPr>
        <w:t xml:space="preserve">working </w:t>
      </w:r>
      <w:r w:rsidR="00B75108">
        <w:rPr>
          <w:rFonts w:cs="Times New Roman"/>
          <w:sz w:val="24"/>
          <w:szCs w:val="24"/>
        </w:rPr>
        <w:t xml:space="preserve">paper from the Federal Reserve </w:t>
      </w:r>
      <w:r w:rsidR="00755390">
        <w:rPr>
          <w:rFonts w:cs="Times New Roman"/>
          <w:sz w:val="24"/>
          <w:szCs w:val="24"/>
        </w:rPr>
        <w:t xml:space="preserve">Bank </w:t>
      </w:r>
      <w:r w:rsidR="00B75108">
        <w:rPr>
          <w:rFonts w:cs="Times New Roman"/>
          <w:sz w:val="24"/>
          <w:szCs w:val="24"/>
        </w:rPr>
        <w:t>of Boston argue</w:t>
      </w:r>
      <w:r w:rsidR="00B5112E">
        <w:rPr>
          <w:rFonts w:cs="Times New Roman"/>
          <w:sz w:val="24"/>
          <w:szCs w:val="24"/>
        </w:rPr>
        <w:t>s</w:t>
      </w:r>
      <w:r w:rsidR="00B75108">
        <w:rPr>
          <w:rFonts w:cs="Times New Roman"/>
          <w:sz w:val="24"/>
          <w:szCs w:val="24"/>
        </w:rPr>
        <w:t xml:space="preserve"> that reducing merchant fees and card rewards would save consumers money and improve consumer</w:t>
      </w:r>
      <w:r w:rsidR="00B5112E">
        <w:rPr>
          <w:rFonts w:cs="Times New Roman"/>
          <w:sz w:val="24"/>
          <w:szCs w:val="24"/>
        </w:rPr>
        <w:t xml:space="preserve"> welfare, especially for lower income households</w:t>
      </w:r>
      <w:r w:rsidR="00755390">
        <w:rPr>
          <w:rFonts w:cs="Times New Roman"/>
          <w:sz w:val="24"/>
          <w:szCs w:val="24"/>
        </w:rPr>
        <w:t xml:space="preserve"> that typically do not use but indirectly subsidize rewards cards</w:t>
      </w:r>
      <w:r w:rsidR="00B75108">
        <w:rPr>
          <w:rFonts w:cs="Times New Roman"/>
          <w:sz w:val="24"/>
          <w:szCs w:val="24"/>
        </w:rPr>
        <w:t>.  (Scott Schuh, Oz Shy, and Joanna Stavins, “Who Gains and Who Loses from Credit Card Payments? Theory and Calibrations,”</w:t>
      </w:r>
      <w:r w:rsidR="00682663">
        <w:rPr>
          <w:rFonts w:cs="Times New Roman"/>
          <w:sz w:val="24"/>
          <w:szCs w:val="24"/>
        </w:rPr>
        <w:t xml:space="preserve"> Federal Reserve Bank of Boston,</w:t>
      </w:r>
      <w:r w:rsidR="00B75108">
        <w:rPr>
          <w:rFonts w:cs="Times New Roman"/>
          <w:sz w:val="24"/>
          <w:szCs w:val="24"/>
        </w:rPr>
        <w:t xml:space="preserve"> </w:t>
      </w:r>
      <w:r w:rsidR="00682663">
        <w:rPr>
          <w:rFonts w:cs="Times New Roman"/>
          <w:sz w:val="24"/>
          <w:szCs w:val="24"/>
        </w:rPr>
        <w:t>Aug</w:t>
      </w:r>
      <w:r w:rsidR="00B5112E">
        <w:rPr>
          <w:rFonts w:cs="Times New Roman"/>
          <w:sz w:val="24"/>
          <w:szCs w:val="24"/>
        </w:rPr>
        <w:t>ust</w:t>
      </w:r>
      <w:r w:rsidR="00682663">
        <w:rPr>
          <w:rFonts w:cs="Times New Roman"/>
          <w:sz w:val="24"/>
          <w:szCs w:val="24"/>
        </w:rPr>
        <w:t xml:space="preserve"> 31, 2010, </w:t>
      </w:r>
      <w:hyperlink r:id="rId9" w:history="1">
        <w:r w:rsidR="00682663" w:rsidRPr="0052669E">
          <w:rPr>
            <w:rStyle w:val="Hyperlink"/>
            <w:rFonts w:cs="Times New Roman"/>
            <w:sz w:val="24"/>
            <w:szCs w:val="24"/>
          </w:rPr>
          <w:t>file:///C:/Users/Chris%20Delta/Downloads/ppdp1003.pdf</w:t>
        </w:r>
      </w:hyperlink>
      <w:r w:rsidR="00682663">
        <w:rPr>
          <w:rFonts w:cs="Times New Roman"/>
          <w:sz w:val="24"/>
          <w:szCs w:val="24"/>
        </w:rPr>
        <w:t xml:space="preserve">) </w:t>
      </w:r>
      <w:r w:rsidR="00B5112E">
        <w:rPr>
          <w:rFonts w:cs="Times New Roman"/>
          <w:sz w:val="24"/>
          <w:szCs w:val="24"/>
        </w:rPr>
        <w:t xml:space="preserve"> A staff working paper published by the Federal Reserve Board in 2023 has reached similar conclusions.  (</w:t>
      </w:r>
      <w:hyperlink r:id="rId10" w:history="1">
        <w:r w:rsidR="00B5112E" w:rsidRPr="0052669E">
          <w:rPr>
            <w:rStyle w:val="Hyperlink"/>
            <w:rFonts w:cs="Times New Roman"/>
            <w:sz w:val="24"/>
            <w:szCs w:val="24"/>
          </w:rPr>
          <w:t>https://www.federalreserve.gov/econres/feds/files/2023007pap.pdf</w:t>
        </w:r>
      </w:hyperlink>
      <w:r w:rsidR="00B5112E">
        <w:rPr>
          <w:rFonts w:cs="Times New Roman"/>
          <w:sz w:val="24"/>
          <w:szCs w:val="24"/>
        </w:rPr>
        <w:t xml:space="preserve">)  </w:t>
      </w:r>
    </w:p>
    <w:p w14:paraId="5A339549" w14:textId="22BE26C0" w:rsidR="00F94BBA" w:rsidRDefault="00C17E0F" w:rsidP="00F94BBA">
      <w:pPr>
        <w:pStyle w:val="Text"/>
        <w:ind w:firstLine="720"/>
        <w:rPr>
          <w:rFonts w:cs="Times New Roman"/>
          <w:sz w:val="24"/>
          <w:szCs w:val="24"/>
        </w:rPr>
      </w:pPr>
      <w:r>
        <w:rPr>
          <w:rFonts w:cs="Times New Roman"/>
          <w:sz w:val="24"/>
          <w:szCs w:val="24"/>
        </w:rPr>
        <w:t xml:space="preserve">If the recent experience with the effort to mandate more competition for debit card fees is any indication, it seems unlikely that </w:t>
      </w:r>
      <w:r w:rsidR="00953D8A">
        <w:rPr>
          <w:rFonts w:cs="Times New Roman"/>
          <w:sz w:val="24"/>
          <w:szCs w:val="24"/>
        </w:rPr>
        <w:t>interchange fees will be reduced much.  Moreover, as noted above, banks are likely to raise fees in other areas to recoup any reduced debit card fees.  A 2017 report from economists at the Federal Reserve B</w:t>
      </w:r>
      <w:r w:rsidR="000F2003">
        <w:rPr>
          <w:rFonts w:cs="Times New Roman"/>
          <w:sz w:val="24"/>
          <w:szCs w:val="24"/>
        </w:rPr>
        <w:t>o</w:t>
      </w:r>
      <w:r w:rsidR="00953D8A">
        <w:rPr>
          <w:rFonts w:cs="Times New Roman"/>
          <w:sz w:val="24"/>
          <w:szCs w:val="24"/>
        </w:rPr>
        <w:t>a</w:t>
      </w:r>
      <w:r w:rsidR="000F2003">
        <w:rPr>
          <w:rFonts w:cs="Times New Roman"/>
          <w:sz w:val="24"/>
          <w:szCs w:val="24"/>
        </w:rPr>
        <w:t xml:space="preserve">rd </w:t>
      </w:r>
      <w:r w:rsidR="00953D8A">
        <w:rPr>
          <w:rFonts w:cs="Times New Roman"/>
          <w:sz w:val="24"/>
          <w:szCs w:val="24"/>
        </w:rPr>
        <w:t xml:space="preserve">concluded that banks subject to reduced debit card fees were less likely to offer free checking accounts and increased their monthly fees on checking accounts while increasing the monthly minimum balance requirements for avoiding such fees.  The number of debit card rewards programs dropped considerably.  </w:t>
      </w:r>
      <w:r w:rsidR="000F2003">
        <w:rPr>
          <w:rFonts w:cs="Times New Roman"/>
          <w:sz w:val="24"/>
          <w:szCs w:val="24"/>
        </w:rPr>
        <w:t xml:space="preserve">(Mark Manuszak and Krzysztof Wozniak, “The Impact of Price Controls in Two-sided Markets:  Evidence from US Debit Card Interchange Fee Regulation,” 2017, </w:t>
      </w:r>
      <w:hyperlink r:id="rId11" w:history="1">
        <w:r w:rsidR="000F2003" w:rsidRPr="0052669E">
          <w:rPr>
            <w:rStyle w:val="Hyperlink"/>
            <w:rFonts w:cs="Times New Roman"/>
            <w:sz w:val="24"/>
            <w:szCs w:val="24"/>
          </w:rPr>
          <w:t>https://www.federalreserve.gov/econres/feds/files/2017074pap.pdf</w:t>
        </w:r>
      </w:hyperlink>
      <w:r w:rsidR="000F2003">
        <w:rPr>
          <w:rFonts w:cs="Times New Roman"/>
          <w:sz w:val="24"/>
          <w:szCs w:val="24"/>
        </w:rPr>
        <w:t xml:space="preserve">) </w:t>
      </w:r>
    </w:p>
    <w:p w14:paraId="3475A201" w14:textId="5FC59022" w:rsidR="001F6AF2" w:rsidRDefault="00953D8A" w:rsidP="00587B92">
      <w:pPr>
        <w:pStyle w:val="Text"/>
        <w:ind w:firstLine="720"/>
        <w:rPr>
          <w:rFonts w:cs="Times New Roman"/>
          <w:sz w:val="24"/>
          <w:szCs w:val="24"/>
        </w:rPr>
      </w:pPr>
      <w:r>
        <w:rPr>
          <w:rFonts w:cs="Times New Roman"/>
          <w:sz w:val="24"/>
          <w:szCs w:val="24"/>
        </w:rPr>
        <w:t xml:space="preserve">If history were to repeat </w:t>
      </w:r>
      <w:r w:rsidR="000F2003">
        <w:rPr>
          <w:rFonts w:cs="Times New Roman"/>
          <w:sz w:val="24"/>
          <w:szCs w:val="24"/>
        </w:rPr>
        <w:t xml:space="preserve">itself, we could look at countries </w:t>
      </w:r>
      <w:r w:rsidR="00AC3B93">
        <w:rPr>
          <w:rFonts w:cs="Times New Roman"/>
          <w:sz w:val="24"/>
          <w:szCs w:val="24"/>
        </w:rPr>
        <w:t xml:space="preserve">that cap interchange fees </w:t>
      </w:r>
      <w:r w:rsidR="000F2003">
        <w:rPr>
          <w:rFonts w:cs="Times New Roman"/>
          <w:sz w:val="24"/>
          <w:szCs w:val="24"/>
        </w:rPr>
        <w:t xml:space="preserve">to guess what the likely </w:t>
      </w:r>
      <w:r w:rsidR="00AC3B93">
        <w:rPr>
          <w:rFonts w:cs="Times New Roman"/>
          <w:sz w:val="24"/>
          <w:szCs w:val="24"/>
        </w:rPr>
        <w:t>effec</w:t>
      </w:r>
      <w:r w:rsidR="000F2003">
        <w:rPr>
          <w:rFonts w:cs="Times New Roman"/>
          <w:sz w:val="24"/>
          <w:szCs w:val="24"/>
        </w:rPr>
        <w:t xml:space="preserve">ts of lower fees </w:t>
      </w:r>
      <w:r w:rsidR="00AC3B93">
        <w:rPr>
          <w:rFonts w:cs="Times New Roman"/>
          <w:sz w:val="24"/>
          <w:szCs w:val="24"/>
        </w:rPr>
        <w:t xml:space="preserve">would be on rewards programs.  For example, the UK has capped fees at 0.5 percent for several years.  The cap has saved merchants a considerable amount of money in fees, but it has also resulted in fewer rewards programs and at lower amounts.  Currently, UK card issuers pay rewards rates of 0.5 to 1 percent, and they impose an annual fee on cards that pay higher rewards rates.  Australia capped its interchange fees in 2003, and it has witnessed similar outcomes for rewards programs.  A 2012 report from the Reserve Bank of Australia noted that issuers reduced rewards points earned from spending on credit cards while increasing fees on cardholders.  There is no reason to believe there would be a different outcome in the US, though </w:t>
      </w:r>
      <w:r w:rsidR="00587B92">
        <w:rPr>
          <w:rFonts w:cs="Times New Roman"/>
          <w:sz w:val="24"/>
          <w:szCs w:val="24"/>
        </w:rPr>
        <w:t xml:space="preserve">interchange fees here are so high that some reduction in such fees might not have much of an effect on rewards programs.  </w:t>
      </w:r>
    </w:p>
    <w:p w14:paraId="393759CB" w14:textId="77777777" w:rsidR="001F6AF2" w:rsidRDefault="001F6AF2">
      <w:r>
        <w:br w:type="page"/>
      </w:r>
    </w:p>
    <w:p w14:paraId="00874097" w14:textId="77777777" w:rsidR="00587B92" w:rsidRDefault="00587B92" w:rsidP="00C61F24">
      <w:pPr>
        <w:pStyle w:val="Text"/>
        <w:ind w:firstLine="0"/>
        <w:rPr>
          <w:rFonts w:cs="Times New Roman"/>
          <w:sz w:val="24"/>
          <w:szCs w:val="24"/>
        </w:rPr>
      </w:pPr>
    </w:p>
    <w:p w14:paraId="7B66F3B5" w14:textId="68481A92" w:rsidR="00DD1F9C" w:rsidRDefault="00587B92" w:rsidP="00DD1F9C">
      <w:pPr>
        <w:pStyle w:val="Text"/>
        <w:ind w:firstLine="720"/>
        <w:rPr>
          <w:rFonts w:cs="Times New Roman"/>
          <w:sz w:val="24"/>
          <w:szCs w:val="24"/>
        </w:rPr>
      </w:pPr>
      <w:r>
        <w:rPr>
          <w:rFonts w:cs="Times New Roman"/>
          <w:sz w:val="24"/>
          <w:szCs w:val="24"/>
        </w:rPr>
        <w:t xml:space="preserve">Regardless, even if the CCC Act becomes law (which is unlikely this year) credit card rewards programs should not disappear entirely.  After all, countries with much lower fees than those US banks charge still maintain rewards programs, even if they do so at much lower amounts.  </w:t>
      </w:r>
      <w:r w:rsidR="00927487">
        <w:rPr>
          <w:rFonts w:cs="Times New Roman"/>
          <w:sz w:val="24"/>
          <w:szCs w:val="24"/>
        </w:rPr>
        <w:t xml:space="preserve">Another likely potential effect </w:t>
      </w:r>
      <w:r w:rsidR="000F6A5C">
        <w:rPr>
          <w:rFonts w:cs="Times New Roman"/>
          <w:sz w:val="24"/>
          <w:szCs w:val="24"/>
        </w:rPr>
        <w:t xml:space="preserve">of the CCC Act </w:t>
      </w:r>
      <w:r w:rsidR="00927487">
        <w:rPr>
          <w:rFonts w:cs="Times New Roman"/>
          <w:sz w:val="24"/>
          <w:szCs w:val="24"/>
        </w:rPr>
        <w:t xml:space="preserve">would be that consumers </w:t>
      </w:r>
      <w:r w:rsidR="000F6A5C">
        <w:rPr>
          <w:rFonts w:cs="Times New Roman"/>
          <w:sz w:val="24"/>
          <w:szCs w:val="24"/>
        </w:rPr>
        <w:t xml:space="preserve">would probably </w:t>
      </w:r>
      <w:r w:rsidR="00927487">
        <w:rPr>
          <w:rFonts w:cs="Times New Roman"/>
          <w:sz w:val="24"/>
          <w:szCs w:val="24"/>
        </w:rPr>
        <w:t xml:space="preserve">carry fewer credit cards because various </w:t>
      </w:r>
      <w:r w:rsidR="001F6AF2">
        <w:rPr>
          <w:rFonts w:cs="Times New Roman"/>
          <w:sz w:val="24"/>
          <w:szCs w:val="24"/>
        </w:rPr>
        <w:t xml:space="preserve">credit </w:t>
      </w:r>
      <w:r w:rsidR="00927487">
        <w:rPr>
          <w:rFonts w:cs="Times New Roman"/>
          <w:sz w:val="24"/>
          <w:szCs w:val="24"/>
        </w:rPr>
        <w:t xml:space="preserve">card offers </w:t>
      </w:r>
      <w:r w:rsidR="001F6AF2">
        <w:rPr>
          <w:rFonts w:cs="Times New Roman"/>
          <w:sz w:val="24"/>
          <w:szCs w:val="24"/>
        </w:rPr>
        <w:t>w</w:t>
      </w:r>
      <w:r w:rsidR="00927487">
        <w:rPr>
          <w:rFonts w:cs="Times New Roman"/>
          <w:sz w:val="24"/>
          <w:szCs w:val="24"/>
        </w:rPr>
        <w:t xml:space="preserve">ould be less enticing.  </w:t>
      </w:r>
      <w:r w:rsidR="000F6A5C">
        <w:rPr>
          <w:rFonts w:cs="Times New Roman"/>
          <w:sz w:val="24"/>
          <w:szCs w:val="24"/>
        </w:rPr>
        <w:t>One way or another, b</w:t>
      </w:r>
      <w:r w:rsidR="00413A89">
        <w:rPr>
          <w:rFonts w:cs="Times New Roman"/>
          <w:sz w:val="24"/>
          <w:szCs w:val="24"/>
        </w:rPr>
        <w:t xml:space="preserve">ecause American consumers </w:t>
      </w:r>
      <w:r w:rsidR="001F6AF2">
        <w:rPr>
          <w:rFonts w:cs="Times New Roman"/>
          <w:sz w:val="24"/>
          <w:szCs w:val="24"/>
        </w:rPr>
        <w:t xml:space="preserve">have become used to </w:t>
      </w:r>
      <w:r w:rsidR="00413A89">
        <w:rPr>
          <w:rFonts w:cs="Times New Roman"/>
          <w:sz w:val="24"/>
          <w:szCs w:val="24"/>
        </w:rPr>
        <w:t xml:space="preserve">credit card rewards programs, card issuers will </w:t>
      </w:r>
      <w:r w:rsidR="001F6AF2">
        <w:rPr>
          <w:rFonts w:cs="Times New Roman"/>
          <w:sz w:val="24"/>
          <w:szCs w:val="24"/>
        </w:rPr>
        <w:t xml:space="preserve">probably have to maintain some reward programs while being </w:t>
      </w:r>
      <w:r w:rsidR="00040545">
        <w:rPr>
          <w:rFonts w:cs="Times New Roman"/>
          <w:sz w:val="24"/>
          <w:szCs w:val="24"/>
        </w:rPr>
        <w:t>more creative in trying to entice customers.</w:t>
      </w:r>
      <w:r w:rsidR="001F6AF2">
        <w:rPr>
          <w:rFonts w:cs="Times New Roman"/>
          <w:sz w:val="24"/>
          <w:szCs w:val="24"/>
        </w:rPr>
        <w:t xml:space="preserve"> </w:t>
      </w:r>
      <w:r w:rsidR="00413A89">
        <w:rPr>
          <w:rFonts w:cs="Times New Roman"/>
          <w:sz w:val="24"/>
          <w:szCs w:val="24"/>
        </w:rPr>
        <w:t xml:space="preserve"> That may require issuers to find ways other than points or cash back </w:t>
      </w:r>
      <w:r w:rsidR="007B5FAC">
        <w:rPr>
          <w:rFonts w:cs="Times New Roman"/>
          <w:sz w:val="24"/>
          <w:szCs w:val="24"/>
        </w:rPr>
        <w:t xml:space="preserve">(for example, providing </w:t>
      </w:r>
      <w:r w:rsidR="00413A89">
        <w:rPr>
          <w:rFonts w:cs="Times New Roman"/>
          <w:sz w:val="24"/>
          <w:szCs w:val="24"/>
        </w:rPr>
        <w:t>access to airport lounges or faster ways to attain status for various airlines</w:t>
      </w:r>
      <w:r w:rsidR="007B5FAC">
        <w:rPr>
          <w:rFonts w:cs="Times New Roman"/>
          <w:sz w:val="24"/>
          <w:szCs w:val="24"/>
        </w:rPr>
        <w:t>) to retain cardholders</w:t>
      </w:r>
      <w:r w:rsidR="00413A89">
        <w:rPr>
          <w:rFonts w:cs="Times New Roman"/>
          <w:sz w:val="24"/>
          <w:szCs w:val="24"/>
        </w:rPr>
        <w:t xml:space="preserve">.  Given how much consumers love their rewards programs, and how </w:t>
      </w:r>
      <w:r w:rsidR="000F6A5C">
        <w:rPr>
          <w:rFonts w:cs="Times New Roman"/>
          <w:sz w:val="24"/>
          <w:szCs w:val="24"/>
        </w:rPr>
        <w:t xml:space="preserve">much </w:t>
      </w:r>
      <w:r w:rsidR="00413A89">
        <w:rPr>
          <w:rFonts w:cs="Times New Roman"/>
          <w:sz w:val="24"/>
          <w:szCs w:val="24"/>
        </w:rPr>
        <w:t xml:space="preserve">credit card issuers have encouraged their proliferation, it seems likely that issuers will find a way to keep </w:t>
      </w:r>
      <w:r w:rsidR="007B5FAC">
        <w:rPr>
          <w:rFonts w:cs="Times New Roman"/>
          <w:sz w:val="24"/>
          <w:szCs w:val="24"/>
        </w:rPr>
        <w:t xml:space="preserve">some version of </w:t>
      </w:r>
      <w:r w:rsidR="00413A89">
        <w:rPr>
          <w:rFonts w:cs="Times New Roman"/>
          <w:sz w:val="24"/>
          <w:szCs w:val="24"/>
        </w:rPr>
        <w:t xml:space="preserve">their rewards programs going.  </w:t>
      </w:r>
      <w:r w:rsidR="000F6A5C">
        <w:rPr>
          <w:rFonts w:cs="Times New Roman"/>
          <w:sz w:val="24"/>
          <w:szCs w:val="24"/>
        </w:rPr>
        <w:t>If they do not do so, consumers may start focusing on the high fees that could remain</w:t>
      </w:r>
      <w:r w:rsidR="002D69FC">
        <w:rPr>
          <w:rFonts w:cs="Times New Roman"/>
          <w:sz w:val="24"/>
          <w:szCs w:val="24"/>
        </w:rPr>
        <w:t xml:space="preserve"> at</w:t>
      </w:r>
      <w:r w:rsidR="000F6A5C">
        <w:rPr>
          <w:rFonts w:cs="Times New Roman"/>
          <w:sz w:val="24"/>
          <w:szCs w:val="24"/>
        </w:rPr>
        <w:t xml:space="preserve"> 2 percent or more, </w:t>
      </w:r>
      <w:r w:rsidR="005D134C">
        <w:rPr>
          <w:rFonts w:cs="Times New Roman"/>
          <w:sz w:val="24"/>
          <w:szCs w:val="24"/>
        </w:rPr>
        <w:t xml:space="preserve">while the </w:t>
      </w:r>
      <w:r w:rsidR="00413A89">
        <w:rPr>
          <w:rFonts w:cs="Times New Roman"/>
          <w:sz w:val="24"/>
          <w:szCs w:val="24"/>
        </w:rPr>
        <w:t xml:space="preserve">cash back or other rewards are </w:t>
      </w:r>
      <w:r w:rsidR="002D69FC">
        <w:rPr>
          <w:rFonts w:cs="Times New Roman"/>
          <w:sz w:val="24"/>
          <w:szCs w:val="24"/>
        </w:rPr>
        <w:t xml:space="preserve">at </w:t>
      </w:r>
      <w:r w:rsidR="00413A89">
        <w:rPr>
          <w:rFonts w:cs="Times New Roman"/>
          <w:sz w:val="24"/>
          <w:szCs w:val="24"/>
        </w:rPr>
        <w:t xml:space="preserve">1 percent, </w:t>
      </w:r>
      <w:r w:rsidR="007B5FAC">
        <w:rPr>
          <w:rFonts w:cs="Times New Roman"/>
          <w:sz w:val="24"/>
          <w:szCs w:val="24"/>
        </w:rPr>
        <w:t xml:space="preserve">and conclude that </w:t>
      </w:r>
      <w:r w:rsidR="00413A89">
        <w:rPr>
          <w:rFonts w:cs="Times New Roman"/>
          <w:sz w:val="24"/>
          <w:szCs w:val="24"/>
        </w:rPr>
        <w:t>rewards card</w:t>
      </w:r>
      <w:r w:rsidR="002D69FC">
        <w:rPr>
          <w:rFonts w:cs="Times New Roman"/>
          <w:sz w:val="24"/>
          <w:szCs w:val="24"/>
        </w:rPr>
        <w:t>s</w:t>
      </w:r>
      <w:r w:rsidR="00413A89">
        <w:rPr>
          <w:rFonts w:cs="Times New Roman"/>
          <w:sz w:val="24"/>
          <w:szCs w:val="24"/>
        </w:rPr>
        <w:t xml:space="preserve"> may not be </w:t>
      </w:r>
      <w:r w:rsidR="000F6A5C">
        <w:rPr>
          <w:rFonts w:cs="Times New Roman"/>
          <w:sz w:val="24"/>
          <w:szCs w:val="24"/>
        </w:rPr>
        <w:t xml:space="preserve">as good a </w:t>
      </w:r>
      <w:r w:rsidR="00413A89">
        <w:rPr>
          <w:rFonts w:cs="Times New Roman"/>
          <w:sz w:val="24"/>
          <w:szCs w:val="24"/>
        </w:rPr>
        <w:t xml:space="preserve">deal for </w:t>
      </w:r>
      <w:r w:rsidR="007B5FAC">
        <w:rPr>
          <w:rFonts w:cs="Times New Roman"/>
          <w:sz w:val="24"/>
          <w:szCs w:val="24"/>
        </w:rPr>
        <w:t xml:space="preserve">them </w:t>
      </w:r>
      <w:r w:rsidR="000F6A5C">
        <w:rPr>
          <w:rFonts w:cs="Times New Roman"/>
          <w:sz w:val="24"/>
          <w:szCs w:val="24"/>
        </w:rPr>
        <w:t xml:space="preserve">as </w:t>
      </w:r>
      <w:r w:rsidR="007B5FAC">
        <w:rPr>
          <w:rFonts w:cs="Times New Roman"/>
          <w:sz w:val="24"/>
          <w:szCs w:val="24"/>
        </w:rPr>
        <w:t xml:space="preserve">their </w:t>
      </w:r>
      <w:r w:rsidR="000F6A5C">
        <w:rPr>
          <w:rFonts w:cs="Times New Roman"/>
          <w:sz w:val="24"/>
          <w:szCs w:val="24"/>
        </w:rPr>
        <w:t>debit card</w:t>
      </w:r>
      <w:r w:rsidR="007B5FAC">
        <w:rPr>
          <w:rFonts w:cs="Times New Roman"/>
          <w:sz w:val="24"/>
          <w:szCs w:val="24"/>
        </w:rPr>
        <w:t>s</w:t>
      </w:r>
      <w:r w:rsidR="00413A89">
        <w:rPr>
          <w:rFonts w:cs="Times New Roman"/>
          <w:sz w:val="24"/>
          <w:szCs w:val="24"/>
        </w:rPr>
        <w:t>.</w:t>
      </w:r>
      <w:r w:rsidR="00040545">
        <w:rPr>
          <w:rFonts w:cs="Times New Roman"/>
          <w:sz w:val="24"/>
          <w:szCs w:val="24"/>
        </w:rPr>
        <w:t xml:space="preserve">  </w:t>
      </w:r>
      <w:r w:rsidR="000F6A5C">
        <w:rPr>
          <w:rFonts w:cs="Times New Roman"/>
          <w:sz w:val="24"/>
          <w:szCs w:val="24"/>
        </w:rPr>
        <w:t>At any rate, even though the ultimate effects of the CCC Act are difficult to gauge</w:t>
      </w:r>
      <w:r w:rsidR="00DD1F9C">
        <w:rPr>
          <w:rFonts w:cs="Times New Roman"/>
          <w:sz w:val="24"/>
          <w:szCs w:val="24"/>
        </w:rPr>
        <w:t xml:space="preserve"> in advance with any certainty</w:t>
      </w:r>
      <w:r w:rsidR="000F6A5C">
        <w:rPr>
          <w:rFonts w:cs="Times New Roman"/>
          <w:sz w:val="24"/>
          <w:szCs w:val="24"/>
        </w:rPr>
        <w:t xml:space="preserve">, it </w:t>
      </w:r>
      <w:r w:rsidR="005D134C">
        <w:rPr>
          <w:rFonts w:cs="Times New Roman"/>
          <w:sz w:val="24"/>
          <w:szCs w:val="24"/>
        </w:rPr>
        <w:t xml:space="preserve">would be </w:t>
      </w:r>
      <w:r w:rsidR="000F6A5C">
        <w:rPr>
          <w:rFonts w:cs="Times New Roman"/>
          <w:sz w:val="24"/>
          <w:szCs w:val="24"/>
        </w:rPr>
        <w:t xml:space="preserve">bound to change the </w:t>
      </w:r>
      <w:r w:rsidR="00DD1F9C">
        <w:rPr>
          <w:rFonts w:cs="Times New Roman"/>
          <w:sz w:val="24"/>
          <w:szCs w:val="24"/>
        </w:rPr>
        <w:t xml:space="preserve">landscape for </w:t>
      </w:r>
      <w:r w:rsidR="000F6A5C">
        <w:rPr>
          <w:rFonts w:cs="Times New Roman"/>
          <w:sz w:val="24"/>
          <w:szCs w:val="24"/>
        </w:rPr>
        <w:t xml:space="preserve">rewards </w:t>
      </w:r>
      <w:r w:rsidR="00DD1F9C">
        <w:rPr>
          <w:rFonts w:cs="Times New Roman"/>
          <w:sz w:val="24"/>
          <w:szCs w:val="24"/>
        </w:rPr>
        <w:t xml:space="preserve">cards </w:t>
      </w:r>
      <w:r w:rsidR="000F6A5C">
        <w:rPr>
          <w:rFonts w:cs="Times New Roman"/>
          <w:sz w:val="24"/>
          <w:szCs w:val="24"/>
        </w:rPr>
        <w:t>if it is ever enacted</w:t>
      </w:r>
      <w:r w:rsidR="00DD1F9C">
        <w:rPr>
          <w:rFonts w:cs="Times New Roman"/>
          <w:sz w:val="24"/>
          <w:szCs w:val="24"/>
        </w:rPr>
        <w:t>.</w:t>
      </w:r>
    </w:p>
    <w:p w14:paraId="561C371C" w14:textId="77777777" w:rsidR="005D134C" w:rsidRDefault="00DD1F9C" w:rsidP="007F4483">
      <w:pPr>
        <w:pStyle w:val="Text"/>
        <w:ind w:firstLine="720"/>
        <w:rPr>
          <w:rFonts w:cs="Times New Roman"/>
          <w:sz w:val="24"/>
          <w:szCs w:val="24"/>
        </w:rPr>
      </w:pPr>
      <w:r>
        <w:rPr>
          <w:rFonts w:cs="Times New Roman"/>
          <w:sz w:val="24"/>
          <w:szCs w:val="24"/>
        </w:rPr>
        <w:t xml:space="preserve">Even if one were to question the sagacity of </w:t>
      </w:r>
      <w:r w:rsidR="0047219F">
        <w:rPr>
          <w:rFonts w:cs="Times New Roman"/>
          <w:sz w:val="24"/>
          <w:szCs w:val="24"/>
        </w:rPr>
        <w:t xml:space="preserve">those who support </w:t>
      </w:r>
      <w:r>
        <w:rPr>
          <w:rFonts w:cs="Times New Roman"/>
          <w:sz w:val="24"/>
          <w:szCs w:val="24"/>
        </w:rPr>
        <w:t xml:space="preserve">the CCC Act, it is worth remembering the rapacious and anticompetitive nature of Visa and Mastercard.  </w:t>
      </w:r>
      <w:r w:rsidR="007F4483">
        <w:rPr>
          <w:rFonts w:cs="Times New Roman"/>
          <w:sz w:val="24"/>
          <w:szCs w:val="24"/>
        </w:rPr>
        <w:t xml:space="preserve">In </w:t>
      </w:r>
      <w:r>
        <w:rPr>
          <w:rFonts w:cs="Times New Roman"/>
          <w:sz w:val="24"/>
          <w:szCs w:val="24"/>
        </w:rPr>
        <w:t xml:space="preserve">March </w:t>
      </w:r>
      <w:r w:rsidR="007F4483">
        <w:rPr>
          <w:rFonts w:cs="Times New Roman"/>
          <w:sz w:val="24"/>
          <w:szCs w:val="24"/>
        </w:rPr>
        <w:t xml:space="preserve">26, 2024, </w:t>
      </w:r>
      <w:r>
        <w:rPr>
          <w:rFonts w:cs="Times New Roman"/>
          <w:sz w:val="24"/>
          <w:szCs w:val="24"/>
        </w:rPr>
        <w:t xml:space="preserve">the two companies agreed to pay </w:t>
      </w:r>
      <w:r w:rsidR="007F4483">
        <w:rPr>
          <w:rFonts w:cs="Times New Roman"/>
          <w:sz w:val="24"/>
          <w:szCs w:val="24"/>
        </w:rPr>
        <w:t xml:space="preserve">approximately </w:t>
      </w:r>
      <w:r>
        <w:rPr>
          <w:rFonts w:cs="Times New Roman"/>
          <w:sz w:val="24"/>
          <w:szCs w:val="24"/>
        </w:rPr>
        <w:t xml:space="preserve">$30 billion to settle an antitrust suit filed against them in 2005 while also agreeing to reduce debit and credit card fees for merchants.  While that was a good start, the settlement did not go far enough, nor did it reduce interchange fees by a meaningful amount (just 0.04 percent for three years while ensuring an average rate that is 0.07 percent below the current average for five years).  </w:t>
      </w:r>
      <w:r w:rsidR="0078241C">
        <w:rPr>
          <w:rFonts w:cs="Times New Roman"/>
          <w:sz w:val="24"/>
          <w:szCs w:val="24"/>
        </w:rPr>
        <w:t xml:space="preserve">The settlement </w:t>
      </w:r>
      <w:r w:rsidR="007F4483">
        <w:rPr>
          <w:rFonts w:cs="Times New Roman"/>
          <w:sz w:val="24"/>
          <w:szCs w:val="24"/>
        </w:rPr>
        <w:t xml:space="preserve">agreement would also give </w:t>
      </w:r>
      <w:r w:rsidR="0078241C">
        <w:rPr>
          <w:rFonts w:cs="Times New Roman"/>
          <w:sz w:val="24"/>
          <w:szCs w:val="24"/>
        </w:rPr>
        <w:t xml:space="preserve">merchants more discretion to offer discounts or to impose surcharges on credit cards with higher fees. Many merchants already warn customers that they will pay higher amounts if they use cards instead of paying in cash.  The $30 billion settlement came about a year after </w:t>
      </w:r>
      <w:r w:rsidR="003B6F00">
        <w:rPr>
          <w:rFonts w:cs="Times New Roman"/>
          <w:sz w:val="24"/>
          <w:szCs w:val="24"/>
        </w:rPr>
        <w:t xml:space="preserve">the U.S. Appeals Court for the Second Circuit </w:t>
      </w:r>
      <w:r w:rsidR="0078241C">
        <w:rPr>
          <w:rFonts w:cs="Times New Roman"/>
          <w:sz w:val="24"/>
          <w:szCs w:val="24"/>
        </w:rPr>
        <w:t xml:space="preserve">upheld a $5.6 billion class action settlement with Visa and Mastercard that covered about 12 million merchants.  (Some merchants opted out of that settlement, but they </w:t>
      </w:r>
      <w:r w:rsidR="003B6F00">
        <w:rPr>
          <w:rFonts w:cs="Times New Roman"/>
          <w:sz w:val="24"/>
          <w:szCs w:val="24"/>
        </w:rPr>
        <w:t>w</w:t>
      </w:r>
      <w:r w:rsidR="005D134C">
        <w:rPr>
          <w:rFonts w:cs="Times New Roman"/>
          <w:sz w:val="24"/>
          <w:szCs w:val="24"/>
        </w:rPr>
        <w:t xml:space="preserve">ould </w:t>
      </w:r>
      <w:r w:rsidR="003B6F00">
        <w:rPr>
          <w:rFonts w:cs="Times New Roman"/>
          <w:sz w:val="24"/>
          <w:szCs w:val="24"/>
        </w:rPr>
        <w:t xml:space="preserve">be </w:t>
      </w:r>
      <w:r w:rsidR="0078241C">
        <w:rPr>
          <w:rFonts w:cs="Times New Roman"/>
          <w:sz w:val="24"/>
          <w:szCs w:val="24"/>
        </w:rPr>
        <w:t xml:space="preserve">bound by the </w:t>
      </w:r>
      <w:r w:rsidR="005D134C">
        <w:rPr>
          <w:rFonts w:cs="Times New Roman"/>
          <w:sz w:val="24"/>
          <w:szCs w:val="24"/>
        </w:rPr>
        <w:t xml:space="preserve">one reached on </w:t>
      </w:r>
      <w:r w:rsidR="0047219F">
        <w:rPr>
          <w:rFonts w:cs="Times New Roman"/>
          <w:sz w:val="24"/>
          <w:szCs w:val="24"/>
        </w:rPr>
        <w:t xml:space="preserve">March 26, 2024 </w:t>
      </w:r>
      <w:r w:rsidR="003B6F00">
        <w:rPr>
          <w:rFonts w:cs="Times New Roman"/>
          <w:sz w:val="24"/>
          <w:szCs w:val="24"/>
        </w:rPr>
        <w:t xml:space="preserve">if the court </w:t>
      </w:r>
      <w:r w:rsidR="0047219F">
        <w:rPr>
          <w:rFonts w:cs="Times New Roman"/>
          <w:sz w:val="24"/>
          <w:szCs w:val="24"/>
        </w:rPr>
        <w:t xml:space="preserve">were to </w:t>
      </w:r>
      <w:r w:rsidR="003B6F00">
        <w:rPr>
          <w:rFonts w:cs="Times New Roman"/>
          <w:sz w:val="24"/>
          <w:szCs w:val="24"/>
        </w:rPr>
        <w:t xml:space="preserve">approve it later this year.)  </w:t>
      </w:r>
      <w:r w:rsidR="00087603">
        <w:rPr>
          <w:rFonts w:cs="Times New Roman"/>
          <w:sz w:val="24"/>
          <w:szCs w:val="24"/>
        </w:rPr>
        <w:t xml:space="preserve">The $30 billion settlement is in peril, however, </w:t>
      </w:r>
      <w:r w:rsidR="003B6F00">
        <w:rPr>
          <w:rFonts w:cs="Times New Roman"/>
          <w:sz w:val="24"/>
          <w:szCs w:val="24"/>
        </w:rPr>
        <w:t xml:space="preserve">because U.S. </w:t>
      </w:r>
      <w:r w:rsidR="0047219F">
        <w:rPr>
          <w:rFonts w:cs="Times New Roman"/>
          <w:sz w:val="24"/>
          <w:szCs w:val="24"/>
        </w:rPr>
        <w:t>D</w:t>
      </w:r>
      <w:r w:rsidR="003B6F00">
        <w:rPr>
          <w:rFonts w:cs="Times New Roman"/>
          <w:sz w:val="24"/>
          <w:szCs w:val="24"/>
        </w:rPr>
        <w:t xml:space="preserve">istrict </w:t>
      </w:r>
      <w:r w:rsidR="0047219F">
        <w:rPr>
          <w:rFonts w:cs="Times New Roman"/>
          <w:sz w:val="24"/>
          <w:szCs w:val="24"/>
        </w:rPr>
        <w:t xml:space="preserve">Court </w:t>
      </w:r>
      <w:r w:rsidR="003B6F00">
        <w:rPr>
          <w:rFonts w:cs="Times New Roman"/>
          <w:sz w:val="24"/>
          <w:szCs w:val="24"/>
        </w:rPr>
        <w:t>Judge Margo Brodie</w:t>
      </w:r>
      <w:r w:rsidR="00087603">
        <w:rPr>
          <w:rFonts w:cs="Times New Roman"/>
          <w:sz w:val="24"/>
          <w:szCs w:val="24"/>
        </w:rPr>
        <w:t>, who is overseeing the</w:t>
      </w:r>
      <w:r w:rsidR="007A58EF">
        <w:rPr>
          <w:rFonts w:cs="Times New Roman"/>
          <w:sz w:val="24"/>
          <w:szCs w:val="24"/>
        </w:rPr>
        <w:t xml:space="preserve"> antitrust</w:t>
      </w:r>
      <w:r w:rsidR="00087603">
        <w:rPr>
          <w:rFonts w:cs="Times New Roman"/>
          <w:sz w:val="24"/>
          <w:szCs w:val="24"/>
        </w:rPr>
        <w:t xml:space="preserve"> litigation</w:t>
      </w:r>
      <w:r w:rsidR="007A58EF">
        <w:rPr>
          <w:rFonts w:cs="Times New Roman"/>
          <w:sz w:val="24"/>
          <w:szCs w:val="24"/>
        </w:rPr>
        <w:t xml:space="preserve"> against Visa and Mastercard</w:t>
      </w:r>
      <w:r w:rsidR="00087603">
        <w:rPr>
          <w:rFonts w:cs="Times New Roman"/>
          <w:sz w:val="24"/>
          <w:szCs w:val="24"/>
        </w:rPr>
        <w:t>,</w:t>
      </w:r>
      <w:r w:rsidR="003B6F00">
        <w:rPr>
          <w:rFonts w:cs="Times New Roman"/>
          <w:sz w:val="24"/>
          <w:szCs w:val="24"/>
        </w:rPr>
        <w:t xml:space="preserve"> told the lawyers in the case on June 13, 2024 that she is not inclined to approve it</w:t>
      </w:r>
      <w:r w:rsidR="0078241C">
        <w:rPr>
          <w:rFonts w:cs="Times New Roman"/>
          <w:sz w:val="24"/>
          <w:szCs w:val="24"/>
        </w:rPr>
        <w:t>.</w:t>
      </w:r>
      <w:r w:rsidR="003B6F00">
        <w:rPr>
          <w:rFonts w:cs="Times New Roman"/>
          <w:sz w:val="24"/>
          <w:szCs w:val="24"/>
        </w:rPr>
        <w:t xml:space="preserve">  A </w:t>
      </w:r>
      <w:r w:rsidR="00D52CB3">
        <w:rPr>
          <w:rFonts w:cs="Times New Roman"/>
          <w:sz w:val="24"/>
          <w:szCs w:val="24"/>
        </w:rPr>
        <w:t xml:space="preserve">person </w:t>
      </w:r>
      <w:r w:rsidR="003B6F00">
        <w:rPr>
          <w:rFonts w:cs="Times New Roman"/>
          <w:sz w:val="24"/>
          <w:szCs w:val="24"/>
        </w:rPr>
        <w:t xml:space="preserve">of ordinary cynicism might say that </w:t>
      </w:r>
      <w:r w:rsidR="00D52CB3">
        <w:rPr>
          <w:rFonts w:cs="Times New Roman"/>
          <w:sz w:val="24"/>
          <w:szCs w:val="24"/>
        </w:rPr>
        <w:t>J</w:t>
      </w:r>
      <w:r w:rsidR="003B6F00">
        <w:rPr>
          <w:rFonts w:cs="Times New Roman"/>
          <w:sz w:val="24"/>
          <w:szCs w:val="24"/>
        </w:rPr>
        <w:t xml:space="preserve">udge </w:t>
      </w:r>
      <w:r w:rsidR="00D52CB3">
        <w:rPr>
          <w:rFonts w:cs="Times New Roman"/>
          <w:sz w:val="24"/>
          <w:szCs w:val="24"/>
        </w:rPr>
        <w:t xml:space="preserve">Brodie </w:t>
      </w:r>
      <w:r w:rsidR="003B6F00">
        <w:rPr>
          <w:rFonts w:cs="Times New Roman"/>
          <w:sz w:val="24"/>
          <w:szCs w:val="24"/>
        </w:rPr>
        <w:t xml:space="preserve">is correct </w:t>
      </w:r>
      <w:r w:rsidR="0047219F">
        <w:rPr>
          <w:rFonts w:cs="Times New Roman"/>
          <w:sz w:val="24"/>
          <w:szCs w:val="24"/>
        </w:rPr>
        <w:t xml:space="preserve">to be skeptical of the terms of the settlement </w:t>
      </w:r>
      <w:r w:rsidR="003B6F00">
        <w:rPr>
          <w:rFonts w:cs="Times New Roman"/>
          <w:sz w:val="24"/>
          <w:szCs w:val="24"/>
        </w:rPr>
        <w:t xml:space="preserve">given the fact that Mastercard </w:t>
      </w:r>
      <w:r w:rsidR="005D134C">
        <w:rPr>
          <w:rFonts w:cs="Times New Roman"/>
          <w:sz w:val="24"/>
          <w:szCs w:val="24"/>
        </w:rPr>
        <w:t>l</w:t>
      </w:r>
      <w:r w:rsidR="0047219F">
        <w:rPr>
          <w:rFonts w:cs="Times New Roman"/>
          <w:sz w:val="24"/>
          <w:szCs w:val="24"/>
        </w:rPr>
        <w:t>a</w:t>
      </w:r>
      <w:r w:rsidR="005D134C">
        <w:rPr>
          <w:rFonts w:cs="Times New Roman"/>
          <w:sz w:val="24"/>
          <w:szCs w:val="24"/>
        </w:rPr>
        <w:t xml:space="preserve">uded </w:t>
      </w:r>
      <w:r w:rsidR="003B6F00">
        <w:rPr>
          <w:rFonts w:cs="Times New Roman"/>
          <w:sz w:val="24"/>
          <w:szCs w:val="24"/>
        </w:rPr>
        <w:t xml:space="preserve">the settlement as a “fair resolution” and Visa called it an “appropriate resolution” of all claims.  Those who </w:t>
      </w:r>
      <w:r w:rsidR="007A58EF">
        <w:rPr>
          <w:rFonts w:cs="Times New Roman"/>
          <w:sz w:val="24"/>
          <w:szCs w:val="24"/>
        </w:rPr>
        <w:t xml:space="preserve">disagreed and </w:t>
      </w:r>
      <w:r w:rsidR="003B6F00">
        <w:rPr>
          <w:rFonts w:cs="Times New Roman"/>
          <w:sz w:val="24"/>
          <w:szCs w:val="24"/>
        </w:rPr>
        <w:t xml:space="preserve">objected to the settlement included </w:t>
      </w:r>
      <w:r w:rsidR="007F4483">
        <w:rPr>
          <w:rFonts w:cs="Times New Roman"/>
          <w:sz w:val="24"/>
          <w:szCs w:val="24"/>
        </w:rPr>
        <w:t>the National Retail Federation</w:t>
      </w:r>
      <w:r w:rsidR="007A58EF">
        <w:rPr>
          <w:rFonts w:cs="Times New Roman"/>
          <w:sz w:val="24"/>
          <w:szCs w:val="24"/>
        </w:rPr>
        <w:t>,</w:t>
      </w:r>
      <w:r w:rsidR="007F4483">
        <w:rPr>
          <w:rFonts w:cs="Times New Roman"/>
          <w:sz w:val="24"/>
          <w:szCs w:val="24"/>
        </w:rPr>
        <w:t xml:space="preserve"> which called the settlement “manifestly insufficient” and its benefits “meager and temporary.”  It would be difficult to disagree with the judge or the NRF because the settlement would still leave in place exorbitant interchange fees while imposing a practically unlimited ban on future claims by aggrieved merchants.  The case is </w:t>
      </w:r>
      <w:proofErr w:type="gramStart"/>
      <w:r w:rsidR="007F4483" w:rsidRPr="007F4483">
        <w:rPr>
          <w:rFonts w:cs="Times New Roman"/>
          <w:i/>
          <w:iCs/>
          <w:sz w:val="24"/>
          <w:szCs w:val="24"/>
        </w:rPr>
        <w:t>In</w:t>
      </w:r>
      <w:proofErr w:type="gramEnd"/>
      <w:r w:rsidR="007F4483" w:rsidRPr="007F4483">
        <w:rPr>
          <w:rFonts w:cs="Times New Roman"/>
          <w:i/>
          <w:iCs/>
          <w:sz w:val="24"/>
          <w:szCs w:val="24"/>
        </w:rPr>
        <w:t xml:space="preserve"> re Payment Card Interchange Fee and Merchant Discount Antitrust Litigation</w:t>
      </w:r>
      <w:r w:rsidR="007F4483">
        <w:rPr>
          <w:rFonts w:cs="Times New Roman"/>
          <w:sz w:val="24"/>
          <w:szCs w:val="24"/>
        </w:rPr>
        <w:t>, No. 05-md-01720 (E.D.N.Y.)</w:t>
      </w:r>
      <w:r w:rsidR="005D134C">
        <w:rPr>
          <w:rFonts w:cs="Times New Roman"/>
          <w:sz w:val="24"/>
          <w:szCs w:val="24"/>
        </w:rPr>
        <w:t>, and the judge’s ruling regarding the tentative settlement is due later this year</w:t>
      </w:r>
      <w:r w:rsidR="007F4483">
        <w:rPr>
          <w:rFonts w:cs="Times New Roman"/>
          <w:sz w:val="24"/>
          <w:szCs w:val="24"/>
        </w:rPr>
        <w:t xml:space="preserve">.  </w:t>
      </w:r>
    </w:p>
    <w:p w14:paraId="4E484BF2" w14:textId="5241A19E" w:rsidR="007F4483" w:rsidRDefault="00D52CB3" w:rsidP="007F4483">
      <w:pPr>
        <w:pStyle w:val="Text"/>
        <w:ind w:firstLine="720"/>
        <w:rPr>
          <w:rFonts w:cs="Times New Roman"/>
          <w:sz w:val="24"/>
          <w:szCs w:val="24"/>
        </w:rPr>
      </w:pPr>
      <w:r>
        <w:rPr>
          <w:rFonts w:cs="Times New Roman"/>
          <w:sz w:val="24"/>
          <w:szCs w:val="24"/>
        </w:rPr>
        <w:lastRenderedPageBreak/>
        <w:t xml:space="preserve">Due to an abdication of governmental regulatory </w:t>
      </w:r>
      <w:r w:rsidR="005D134C">
        <w:rPr>
          <w:rFonts w:cs="Times New Roman"/>
          <w:sz w:val="24"/>
          <w:szCs w:val="24"/>
        </w:rPr>
        <w:t xml:space="preserve">responsibility, </w:t>
      </w:r>
      <w:r>
        <w:rPr>
          <w:rFonts w:cs="Times New Roman"/>
          <w:sz w:val="24"/>
          <w:szCs w:val="24"/>
        </w:rPr>
        <w:t xml:space="preserve">Visa and Mastercard have been able to impose high </w:t>
      </w:r>
      <w:r w:rsidR="005D134C">
        <w:rPr>
          <w:rFonts w:cs="Times New Roman"/>
          <w:sz w:val="24"/>
          <w:szCs w:val="24"/>
        </w:rPr>
        <w:t xml:space="preserve">interchange </w:t>
      </w:r>
      <w:r>
        <w:rPr>
          <w:rFonts w:cs="Times New Roman"/>
          <w:sz w:val="24"/>
          <w:szCs w:val="24"/>
        </w:rPr>
        <w:t xml:space="preserve">fees </w:t>
      </w:r>
      <w:r w:rsidR="00B41FD7">
        <w:rPr>
          <w:rFonts w:cs="Times New Roman"/>
          <w:sz w:val="24"/>
          <w:szCs w:val="24"/>
        </w:rPr>
        <w:t xml:space="preserve">on merchants and consumers </w:t>
      </w:r>
      <w:r>
        <w:rPr>
          <w:rFonts w:cs="Times New Roman"/>
          <w:sz w:val="24"/>
          <w:szCs w:val="24"/>
        </w:rPr>
        <w:t xml:space="preserve">without fear of consequences.  The antitrust litigation and the proposed CCC Act </w:t>
      </w:r>
      <w:r w:rsidR="00F051F6">
        <w:rPr>
          <w:rFonts w:cs="Times New Roman"/>
          <w:sz w:val="24"/>
          <w:szCs w:val="24"/>
        </w:rPr>
        <w:t xml:space="preserve">might be incipient signs that Visa and Mastercard may start to see </w:t>
      </w:r>
      <w:r>
        <w:rPr>
          <w:rFonts w:cs="Times New Roman"/>
          <w:sz w:val="24"/>
          <w:szCs w:val="24"/>
        </w:rPr>
        <w:t xml:space="preserve">the balance of </w:t>
      </w:r>
      <w:r w:rsidR="007A58EF">
        <w:rPr>
          <w:rFonts w:cs="Times New Roman"/>
          <w:sz w:val="24"/>
          <w:szCs w:val="24"/>
        </w:rPr>
        <w:t xml:space="preserve">power </w:t>
      </w:r>
      <w:r w:rsidR="00F051F6">
        <w:rPr>
          <w:rFonts w:cs="Times New Roman"/>
          <w:sz w:val="24"/>
          <w:szCs w:val="24"/>
        </w:rPr>
        <w:t xml:space="preserve">shift </w:t>
      </w:r>
      <w:r w:rsidR="006A0545">
        <w:rPr>
          <w:rFonts w:cs="Times New Roman"/>
          <w:sz w:val="24"/>
          <w:szCs w:val="24"/>
        </w:rPr>
        <w:t xml:space="preserve">ever so slightly </w:t>
      </w:r>
      <w:r w:rsidR="007A58EF">
        <w:rPr>
          <w:rFonts w:cs="Times New Roman"/>
          <w:sz w:val="24"/>
          <w:szCs w:val="24"/>
        </w:rPr>
        <w:t xml:space="preserve">in favor of merchants and consumers </w:t>
      </w:r>
      <w:r>
        <w:rPr>
          <w:rFonts w:cs="Times New Roman"/>
          <w:sz w:val="24"/>
          <w:szCs w:val="24"/>
        </w:rPr>
        <w:t>in the near future.</w:t>
      </w:r>
      <w:r w:rsidR="007A58EF">
        <w:rPr>
          <w:rFonts w:cs="Times New Roman"/>
          <w:sz w:val="24"/>
          <w:szCs w:val="24"/>
        </w:rPr>
        <w:t xml:space="preserve">  </w:t>
      </w:r>
    </w:p>
    <w:p w14:paraId="4A908EA4" w14:textId="77777777" w:rsidR="007A58EF" w:rsidRDefault="007A58EF" w:rsidP="007A58EF">
      <w:pPr>
        <w:pStyle w:val="Text"/>
        <w:ind w:firstLine="0"/>
        <w:rPr>
          <w:rFonts w:ascii="var(--tr-font-regular)" w:hAnsi="var(--tr-font-regular)"/>
          <w:color w:val="404040"/>
          <w:sz w:val="27"/>
          <w:szCs w:val="27"/>
        </w:rPr>
      </w:pPr>
    </w:p>
    <w:p w14:paraId="6C9757C0" w14:textId="1771F6CF" w:rsidR="00FF1061" w:rsidRPr="00F867FF" w:rsidRDefault="0078241C" w:rsidP="00F94BBA">
      <w:pPr>
        <w:pStyle w:val="Text"/>
        <w:ind w:firstLine="0"/>
        <w:rPr>
          <w:rFonts w:cs="Times New Roman"/>
          <w:sz w:val="24"/>
          <w:szCs w:val="24"/>
        </w:rPr>
      </w:pPr>
      <w:r>
        <w:rPr>
          <w:rFonts w:cs="Times New Roman"/>
          <w:sz w:val="24"/>
          <w:szCs w:val="24"/>
        </w:rPr>
        <w:t>T</w:t>
      </w:r>
      <w:r w:rsidR="00FF1061" w:rsidRPr="00F867FF">
        <w:rPr>
          <w:rFonts w:cs="Times New Roman"/>
          <w:sz w:val="24"/>
          <w:szCs w:val="24"/>
        </w:rPr>
        <w:t xml:space="preserve">he text of </w:t>
      </w:r>
      <w:r w:rsidR="00F94BBA">
        <w:rPr>
          <w:rFonts w:cs="Times New Roman"/>
          <w:sz w:val="24"/>
          <w:szCs w:val="24"/>
        </w:rPr>
        <w:t>S</w:t>
      </w:r>
      <w:r w:rsidR="00FF1061" w:rsidRPr="00F867FF">
        <w:rPr>
          <w:rFonts w:cs="Times New Roman"/>
          <w:sz w:val="24"/>
          <w:szCs w:val="24"/>
        </w:rPr>
        <w:t>.</w:t>
      </w:r>
      <w:r w:rsidR="00F94BBA">
        <w:rPr>
          <w:rFonts w:cs="Times New Roman"/>
          <w:sz w:val="24"/>
          <w:szCs w:val="24"/>
        </w:rPr>
        <w:t>1</w:t>
      </w:r>
      <w:r w:rsidR="00FF1061" w:rsidRPr="00F867FF">
        <w:rPr>
          <w:rFonts w:cs="Times New Roman"/>
          <w:sz w:val="24"/>
          <w:szCs w:val="24"/>
        </w:rPr>
        <w:t>8</w:t>
      </w:r>
      <w:r w:rsidR="00F94BBA">
        <w:rPr>
          <w:rFonts w:cs="Times New Roman"/>
          <w:sz w:val="24"/>
          <w:szCs w:val="24"/>
        </w:rPr>
        <w:t>38</w:t>
      </w:r>
      <w:r w:rsidR="00FF1061" w:rsidRPr="00F867FF">
        <w:rPr>
          <w:rFonts w:cs="Times New Roman"/>
          <w:sz w:val="24"/>
          <w:szCs w:val="24"/>
        </w:rPr>
        <w:t xml:space="preserve"> is here:  </w:t>
      </w:r>
      <w:hyperlink r:id="rId12" w:history="1">
        <w:r w:rsidR="00F94BBA" w:rsidRPr="0052669E">
          <w:rPr>
            <w:rStyle w:val="Hyperlink"/>
            <w:rFonts w:cs="Times New Roman"/>
            <w:sz w:val="24"/>
            <w:szCs w:val="24"/>
          </w:rPr>
          <w:t>https://www.congress.gov/bill/118th-congress/senate-bill/1838/text</w:t>
        </w:r>
      </w:hyperlink>
      <w:r w:rsidR="00F94BBA">
        <w:rPr>
          <w:rFonts w:cs="Times New Roman"/>
          <w:sz w:val="24"/>
          <w:szCs w:val="24"/>
        </w:rPr>
        <w:t xml:space="preserve"> </w:t>
      </w:r>
    </w:p>
    <w:sectPr w:rsidR="00FF1061" w:rsidRPr="00F867FF" w:rsidSect="00DE2AF0">
      <w:footerReference w:type="even"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D49D3" w14:textId="77777777" w:rsidR="002F2A8D" w:rsidRDefault="002F2A8D">
      <w:r>
        <w:separator/>
      </w:r>
    </w:p>
  </w:endnote>
  <w:endnote w:type="continuationSeparator" w:id="0">
    <w:p w14:paraId="32AB5310" w14:textId="77777777" w:rsidR="002F2A8D" w:rsidRDefault="002F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ar(--tr-font-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EE7B5" w14:textId="77777777" w:rsidR="00797420" w:rsidRDefault="00797420" w:rsidP="00622F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BE112" w14:textId="77777777" w:rsidR="00797420" w:rsidRDefault="00797420" w:rsidP="00DE2A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CF5B" w14:textId="77777777" w:rsidR="00797420" w:rsidRDefault="00797420" w:rsidP="00622F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C4B930" w14:textId="77777777" w:rsidR="00797420" w:rsidRDefault="00797420" w:rsidP="00DE2A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A9209" w14:textId="77777777" w:rsidR="002F2A8D" w:rsidRDefault="002F2A8D">
      <w:r>
        <w:separator/>
      </w:r>
    </w:p>
  </w:footnote>
  <w:footnote w:type="continuationSeparator" w:id="0">
    <w:p w14:paraId="5BB7D7C7" w14:textId="77777777" w:rsidR="002F2A8D" w:rsidRDefault="002F2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3F71"/>
    <w:multiLevelType w:val="hybridMultilevel"/>
    <w:tmpl w:val="D9A655D6"/>
    <w:lvl w:ilvl="0" w:tplc="7744075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5E26E4"/>
    <w:multiLevelType w:val="multilevel"/>
    <w:tmpl w:val="E43426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C00FF"/>
    <w:multiLevelType w:val="multilevel"/>
    <w:tmpl w:val="C6C8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F0CCC"/>
    <w:multiLevelType w:val="multilevel"/>
    <w:tmpl w:val="44C0D9F8"/>
    <w:lvl w:ilvl="0">
      <w:start w:val="1"/>
      <w:numFmt w:val="decimal"/>
      <w:lvlText w:val="%1."/>
      <w:lvlJc w:val="right"/>
      <w:pPr>
        <w:tabs>
          <w:tab w:val="num" w:pos="720"/>
        </w:tabs>
        <w:ind w:left="720" w:hanging="360"/>
      </w:pPr>
      <w:rPr>
        <w:rFonts w:ascii="Times New Roman" w:eastAsia="Times New Roman" w:hAnsi="Times New Roman" w:cs="Times New Roman"/>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D184877"/>
    <w:multiLevelType w:val="multilevel"/>
    <w:tmpl w:val="690A2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F2AE9"/>
    <w:multiLevelType w:val="multilevel"/>
    <w:tmpl w:val="C8340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57543"/>
    <w:multiLevelType w:val="multilevel"/>
    <w:tmpl w:val="C53C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FD5698"/>
    <w:multiLevelType w:val="multilevel"/>
    <w:tmpl w:val="B00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D6DC4"/>
    <w:multiLevelType w:val="multilevel"/>
    <w:tmpl w:val="A3C6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A270C"/>
    <w:multiLevelType w:val="multilevel"/>
    <w:tmpl w:val="636A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B6A20"/>
    <w:multiLevelType w:val="hybridMultilevel"/>
    <w:tmpl w:val="22B85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DE4E15"/>
    <w:multiLevelType w:val="hybridMultilevel"/>
    <w:tmpl w:val="E056D1D0"/>
    <w:lvl w:ilvl="0" w:tplc="C2C6B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9C170C"/>
    <w:multiLevelType w:val="multilevel"/>
    <w:tmpl w:val="9B60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33544C"/>
    <w:multiLevelType w:val="multilevel"/>
    <w:tmpl w:val="413AA6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6A1208B9"/>
    <w:multiLevelType w:val="hybridMultilevel"/>
    <w:tmpl w:val="F0660782"/>
    <w:lvl w:ilvl="0" w:tplc="E9A8799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35242848">
    <w:abstractNumId w:val="1"/>
    <w:lvlOverride w:ilvl="0">
      <w:startOverride w:val="9"/>
    </w:lvlOverride>
  </w:num>
  <w:num w:numId="2" w16cid:durableId="1000304933">
    <w:abstractNumId w:val="10"/>
  </w:num>
  <w:num w:numId="3" w16cid:durableId="2087602624">
    <w:abstractNumId w:val="0"/>
  </w:num>
  <w:num w:numId="4" w16cid:durableId="782654449">
    <w:abstractNumId w:val="14"/>
  </w:num>
  <w:num w:numId="5" w16cid:durableId="466316857">
    <w:abstractNumId w:val="3"/>
  </w:num>
  <w:num w:numId="6" w16cid:durableId="425082916">
    <w:abstractNumId w:val="13"/>
  </w:num>
  <w:num w:numId="7" w16cid:durableId="852917892">
    <w:abstractNumId w:val="9"/>
  </w:num>
  <w:num w:numId="8" w16cid:durableId="1033580006">
    <w:abstractNumId w:val="4"/>
  </w:num>
  <w:num w:numId="9" w16cid:durableId="159859040">
    <w:abstractNumId w:val="2"/>
  </w:num>
  <w:num w:numId="10" w16cid:durableId="2081057724">
    <w:abstractNumId w:val="6"/>
  </w:num>
  <w:num w:numId="11" w16cid:durableId="1920210847">
    <w:abstractNumId w:val="8"/>
  </w:num>
  <w:num w:numId="12" w16cid:durableId="166406101">
    <w:abstractNumId w:val="12"/>
  </w:num>
  <w:num w:numId="13" w16cid:durableId="212081050">
    <w:abstractNumId w:val="5"/>
  </w:num>
  <w:num w:numId="14" w16cid:durableId="486828330">
    <w:abstractNumId w:val="7"/>
  </w:num>
  <w:num w:numId="15" w16cid:durableId="11547597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3E"/>
    <w:rsid w:val="00006158"/>
    <w:rsid w:val="00011D6C"/>
    <w:rsid w:val="000164EC"/>
    <w:rsid w:val="00032A04"/>
    <w:rsid w:val="00037ED2"/>
    <w:rsid w:val="000400F4"/>
    <w:rsid w:val="00040545"/>
    <w:rsid w:val="00043FEE"/>
    <w:rsid w:val="000543EF"/>
    <w:rsid w:val="00056F43"/>
    <w:rsid w:val="00066365"/>
    <w:rsid w:val="00076CD6"/>
    <w:rsid w:val="00077028"/>
    <w:rsid w:val="000770A6"/>
    <w:rsid w:val="00082012"/>
    <w:rsid w:val="00082CAC"/>
    <w:rsid w:val="00085808"/>
    <w:rsid w:val="00086575"/>
    <w:rsid w:val="00087603"/>
    <w:rsid w:val="0009183E"/>
    <w:rsid w:val="00092649"/>
    <w:rsid w:val="000965CE"/>
    <w:rsid w:val="000A66F1"/>
    <w:rsid w:val="000A751C"/>
    <w:rsid w:val="000B285B"/>
    <w:rsid w:val="000B3BEF"/>
    <w:rsid w:val="000B50B0"/>
    <w:rsid w:val="000B6D37"/>
    <w:rsid w:val="000B6FFE"/>
    <w:rsid w:val="000C44E6"/>
    <w:rsid w:val="000C6181"/>
    <w:rsid w:val="000C6286"/>
    <w:rsid w:val="000C70BD"/>
    <w:rsid w:val="000C7A09"/>
    <w:rsid w:val="000C7BF3"/>
    <w:rsid w:val="000D1968"/>
    <w:rsid w:val="000D3D47"/>
    <w:rsid w:val="000E1026"/>
    <w:rsid w:val="000E1D45"/>
    <w:rsid w:val="000E29B1"/>
    <w:rsid w:val="000E7443"/>
    <w:rsid w:val="000E7897"/>
    <w:rsid w:val="000F2003"/>
    <w:rsid w:val="000F35B7"/>
    <w:rsid w:val="000F6A5C"/>
    <w:rsid w:val="00100870"/>
    <w:rsid w:val="00107774"/>
    <w:rsid w:val="0011060C"/>
    <w:rsid w:val="001179FF"/>
    <w:rsid w:val="00120603"/>
    <w:rsid w:val="001228BE"/>
    <w:rsid w:val="00142141"/>
    <w:rsid w:val="00143890"/>
    <w:rsid w:val="00145AFC"/>
    <w:rsid w:val="0014796B"/>
    <w:rsid w:val="00147EA7"/>
    <w:rsid w:val="00156372"/>
    <w:rsid w:val="00157602"/>
    <w:rsid w:val="001644FF"/>
    <w:rsid w:val="00165BB2"/>
    <w:rsid w:val="00170BBF"/>
    <w:rsid w:val="00175073"/>
    <w:rsid w:val="0018357F"/>
    <w:rsid w:val="00185AA9"/>
    <w:rsid w:val="001B5226"/>
    <w:rsid w:val="001B66D3"/>
    <w:rsid w:val="001C0641"/>
    <w:rsid w:val="001C259D"/>
    <w:rsid w:val="001C3DAA"/>
    <w:rsid w:val="001C6A66"/>
    <w:rsid w:val="001D1D21"/>
    <w:rsid w:val="001D3E7B"/>
    <w:rsid w:val="001D6338"/>
    <w:rsid w:val="001E1A8D"/>
    <w:rsid w:val="001E1D46"/>
    <w:rsid w:val="001E3F94"/>
    <w:rsid w:val="001E7E29"/>
    <w:rsid w:val="001F6AF2"/>
    <w:rsid w:val="0020013D"/>
    <w:rsid w:val="00205360"/>
    <w:rsid w:val="00205C66"/>
    <w:rsid w:val="0021614A"/>
    <w:rsid w:val="00221BEB"/>
    <w:rsid w:val="0022379A"/>
    <w:rsid w:val="0023661E"/>
    <w:rsid w:val="00237CAE"/>
    <w:rsid w:val="0025533B"/>
    <w:rsid w:val="002558A6"/>
    <w:rsid w:val="00257086"/>
    <w:rsid w:val="00263109"/>
    <w:rsid w:val="00265F83"/>
    <w:rsid w:val="00266EF4"/>
    <w:rsid w:val="00273534"/>
    <w:rsid w:val="00277175"/>
    <w:rsid w:val="00280A85"/>
    <w:rsid w:val="0028738D"/>
    <w:rsid w:val="00290733"/>
    <w:rsid w:val="00290ED4"/>
    <w:rsid w:val="002921A5"/>
    <w:rsid w:val="002950DF"/>
    <w:rsid w:val="002A5651"/>
    <w:rsid w:val="002B7820"/>
    <w:rsid w:val="002C1E72"/>
    <w:rsid w:val="002D0B33"/>
    <w:rsid w:val="002D2E93"/>
    <w:rsid w:val="002D394E"/>
    <w:rsid w:val="002D4DCB"/>
    <w:rsid w:val="002D69FC"/>
    <w:rsid w:val="002D7B4D"/>
    <w:rsid w:val="002E0BBE"/>
    <w:rsid w:val="002E39AB"/>
    <w:rsid w:val="002E4F4C"/>
    <w:rsid w:val="002F172D"/>
    <w:rsid w:val="002F2A8D"/>
    <w:rsid w:val="00303D59"/>
    <w:rsid w:val="00313E67"/>
    <w:rsid w:val="0031643B"/>
    <w:rsid w:val="0032120B"/>
    <w:rsid w:val="0032383A"/>
    <w:rsid w:val="00323A8E"/>
    <w:rsid w:val="00325E6F"/>
    <w:rsid w:val="00331061"/>
    <w:rsid w:val="00335066"/>
    <w:rsid w:val="00347887"/>
    <w:rsid w:val="003505D5"/>
    <w:rsid w:val="00351DCC"/>
    <w:rsid w:val="0035214F"/>
    <w:rsid w:val="00352155"/>
    <w:rsid w:val="003579DE"/>
    <w:rsid w:val="003603AA"/>
    <w:rsid w:val="00375F24"/>
    <w:rsid w:val="0038523C"/>
    <w:rsid w:val="00385C1E"/>
    <w:rsid w:val="003917D8"/>
    <w:rsid w:val="003946F2"/>
    <w:rsid w:val="003A5648"/>
    <w:rsid w:val="003A6C5F"/>
    <w:rsid w:val="003A7CC1"/>
    <w:rsid w:val="003B2297"/>
    <w:rsid w:val="003B300F"/>
    <w:rsid w:val="003B35C4"/>
    <w:rsid w:val="003B3911"/>
    <w:rsid w:val="003B6F00"/>
    <w:rsid w:val="003B6F33"/>
    <w:rsid w:val="003C7116"/>
    <w:rsid w:val="003D47A8"/>
    <w:rsid w:val="003E3431"/>
    <w:rsid w:val="003E445F"/>
    <w:rsid w:val="003E673C"/>
    <w:rsid w:val="0040347C"/>
    <w:rsid w:val="00406CA2"/>
    <w:rsid w:val="0041101D"/>
    <w:rsid w:val="00413A89"/>
    <w:rsid w:val="00420FF8"/>
    <w:rsid w:val="0042562D"/>
    <w:rsid w:val="00425C96"/>
    <w:rsid w:val="00434716"/>
    <w:rsid w:val="0043619E"/>
    <w:rsid w:val="00451932"/>
    <w:rsid w:val="00451FBE"/>
    <w:rsid w:val="00457969"/>
    <w:rsid w:val="00463C9A"/>
    <w:rsid w:val="00466545"/>
    <w:rsid w:val="00470A00"/>
    <w:rsid w:val="00470C35"/>
    <w:rsid w:val="0047219F"/>
    <w:rsid w:val="00472B45"/>
    <w:rsid w:val="00476348"/>
    <w:rsid w:val="00476EBF"/>
    <w:rsid w:val="0047728C"/>
    <w:rsid w:val="00482846"/>
    <w:rsid w:val="00486424"/>
    <w:rsid w:val="00487512"/>
    <w:rsid w:val="00487B49"/>
    <w:rsid w:val="00490345"/>
    <w:rsid w:val="0049098C"/>
    <w:rsid w:val="00491751"/>
    <w:rsid w:val="00492CAA"/>
    <w:rsid w:val="00495B57"/>
    <w:rsid w:val="00497493"/>
    <w:rsid w:val="004A6A51"/>
    <w:rsid w:val="004B5CCB"/>
    <w:rsid w:val="004B6ED0"/>
    <w:rsid w:val="004B7AAA"/>
    <w:rsid w:val="004C368F"/>
    <w:rsid w:val="004C480F"/>
    <w:rsid w:val="004C5956"/>
    <w:rsid w:val="004C62FD"/>
    <w:rsid w:val="004C6A2B"/>
    <w:rsid w:val="004E07B1"/>
    <w:rsid w:val="004E62E5"/>
    <w:rsid w:val="004F0FE2"/>
    <w:rsid w:val="004F2BF4"/>
    <w:rsid w:val="004F4B42"/>
    <w:rsid w:val="004F4FD9"/>
    <w:rsid w:val="004F6F2D"/>
    <w:rsid w:val="00502171"/>
    <w:rsid w:val="005034FE"/>
    <w:rsid w:val="0050407D"/>
    <w:rsid w:val="005071E1"/>
    <w:rsid w:val="00514B0B"/>
    <w:rsid w:val="005224C2"/>
    <w:rsid w:val="00525775"/>
    <w:rsid w:val="0052577B"/>
    <w:rsid w:val="0052728D"/>
    <w:rsid w:val="00527B54"/>
    <w:rsid w:val="00535CA6"/>
    <w:rsid w:val="0054025A"/>
    <w:rsid w:val="0054218F"/>
    <w:rsid w:val="005560DE"/>
    <w:rsid w:val="00557E05"/>
    <w:rsid w:val="00573755"/>
    <w:rsid w:val="005764AA"/>
    <w:rsid w:val="00577459"/>
    <w:rsid w:val="00584626"/>
    <w:rsid w:val="00586542"/>
    <w:rsid w:val="00587B92"/>
    <w:rsid w:val="005906C3"/>
    <w:rsid w:val="005B78F4"/>
    <w:rsid w:val="005D134C"/>
    <w:rsid w:val="005D4394"/>
    <w:rsid w:val="005D50DD"/>
    <w:rsid w:val="005D6E50"/>
    <w:rsid w:val="005D722F"/>
    <w:rsid w:val="005E57B4"/>
    <w:rsid w:val="005E71EB"/>
    <w:rsid w:val="005F42FA"/>
    <w:rsid w:val="005F7B6E"/>
    <w:rsid w:val="00601704"/>
    <w:rsid w:val="00602FB6"/>
    <w:rsid w:val="0060460D"/>
    <w:rsid w:val="006064B5"/>
    <w:rsid w:val="006068B0"/>
    <w:rsid w:val="00607362"/>
    <w:rsid w:val="006111BC"/>
    <w:rsid w:val="00611814"/>
    <w:rsid w:val="00617254"/>
    <w:rsid w:val="0061735D"/>
    <w:rsid w:val="00617E9F"/>
    <w:rsid w:val="00621FB2"/>
    <w:rsid w:val="00622F49"/>
    <w:rsid w:val="00630612"/>
    <w:rsid w:val="006307B8"/>
    <w:rsid w:val="00637721"/>
    <w:rsid w:val="0064149C"/>
    <w:rsid w:val="006561C3"/>
    <w:rsid w:val="00660DB0"/>
    <w:rsid w:val="006642EE"/>
    <w:rsid w:val="00665A23"/>
    <w:rsid w:val="00670089"/>
    <w:rsid w:val="00670929"/>
    <w:rsid w:val="006740FC"/>
    <w:rsid w:val="00681506"/>
    <w:rsid w:val="00682663"/>
    <w:rsid w:val="006919C6"/>
    <w:rsid w:val="006A0545"/>
    <w:rsid w:val="006A05F7"/>
    <w:rsid w:val="006A62EE"/>
    <w:rsid w:val="006A7C1E"/>
    <w:rsid w:val="006B2F8D"/>
    <w:rsid w:val="006B5438"/>
    <w:rsid w:val="006C2C4C"/>
    <w:rsid w:val="006C3FBC"/>
    <w:rsid w:val="006C4994"/>
    <w:rsid w:val="006E44E8"/>
    <w:rsid w:val="006E467F"/>
    <w:rsid w:val="006F0B0C"/>
    <w:rsid w:val="006F2D45"/>
    <w:rsid w:val="006F2D97"/>
    <w:rsid w:val="00703221"/>
    <w:rsid w:val="0071250E"/>
    <w:rsid w:val="00716AA0"/>
    <w:rsid w:val="00720336"/>
    <w:rsid w:val="00725202"/>
    <w:rsid w:val="00726E85"/>
    <w:rsid w:val="00731DE3"/>
    <w:rsid w:val="00734F21"/>
    <w:rsid w:val="00735577"/>
    <w:rsid w:val="00740B51"/>
    <w:rsid w:val="00744AE3"/>
    <w:rsid w:val="00745411"/>
    <w:rsid w:val="00745FAC"/>
    <w:rsid w:val="007464AA"/>
    <w:rsid w:val="007500E9"/>
    <w:rsid w:val="007515C7"/>
    <w:rsid w:val="00755390"/>
    <w:rsid w:val="007630C3"/>
    <w:rsid w:val="00774149"/>
    <w:rsid w:val="00777992"/>
    <w:rsid w:val="00780612"/>
    <w:rsid w:val="00780CB6"/>
    <w:rsid w:val="007817C2"/>
    <w:rsid w:val="0078241C"/>
    <w:rsid w:val="00783C9D"/>
    <w:rsid w:val="00785E7A"/>
    <w:rsid w:val="00791DDD"/>
    <w:rsid w:val="00794E27"/>
    <w:rsid w:val="007973AB"/>
    <w:rsid w:val="00797420"/>
    <w:rsid w:val="007A58EF"/>
    <w:rsid w:val="007B5BEB"/>
    <w:rsid w:val="007B5FAC"/>
    <w:rsid w:val="007B7E93"/>
    <w:rsid w:val="007C0E3F"/>
    <w:rsid w:val="007C1CF4"/>
    <w:rsid w:val="007D6C88"/>
    <w:rsid w:val="007D7D52"/>
    <w:rsid w:val="007E11BD"/>
    <w:rsid w:val="007E4841"/>
    <w:rsid w:val="007F4483"/>
    <w:rsid w:val="0080303A"/>
    <w:rsid w:val="00821436"/>
    <w:rsid w:val="00821D87"/>
    <w:rsid w:val="00835C17"/>
    <w:rsid w:val="00836181"/>
    <w:rsid w:val="0084549B"/>
    <w:rsid w:val="00846856"/>
    <w:rsid w:val="008468BC"/>
    <w:rsid w:val="0085174D"/>
    <w:rsid w:val="00851C29"/>
    <w:rsid w:val="0085215B"/>
    <w:rsid w:val="00854940"/>
    <w:rsid w:val="008571D5"/>
    <w:rsid w:val="00862C0A"/>
    <w:rsid w:val="0086626B"/>
    <w:rsid w:val="00870BC2"/>
    <w:rsid w:val="00873F5A"/>
    <w:rsid w:val="00884613"/>
    <w:rsid w:val="008948F6"/>
    <w:rsid w:val="00894F41"/>
    <w:rsid w:val="00895B60"/>
    <w:rsid w:val="00896510"/>
    <w:rsid w:val="008B39DE"/>
    <w:rsid w:val="008B6A03"/>
    <w:rsid w:val="008C0708"/>
    <w:rsid w:val="008C6C12"/>
    <w:rsid w:val="008D1572"/>
    <w:rsid w:val="008E732A"/>
    <w:rsid w:val="008F04A1"/>
    <w:rsid w:val="008F098C"/>
    <w:rsid w:val="008F23AA"/>
    <w:rsid w:val="008F3BB2"/>
    <w:rsid w:val="008F60C0"/>
    <w:rsid w:val="008F6400"/>
    <w:rsid w:val="009010D9"/>
    <w:rsid w:val="00904146"/>
    <w:rsid w:val="009079F0"/>
    <w:rsid w:val="00907A3B"/>
    <w:rsid w:val="009105D3"/>
    <w:rsid w:val="009109FB"/>
    <w:rsid w:val="009116B1"/>
    <w:rsid w:val="009151DB"/>
    <w:rsid w:val="00922A94"/>
    <w:rsid w:val="009241D7"/>
    <w:rsid w:val="00925E8E"/>
    <w:rsid w:val="00927487"/>
    <w:rsid w:val="00931AC3"/>
    <w:rsid w:val="00946B58"/>
    <w:rsid w:val="00953D8A"/>
    <w:rsid w:val="00956ECC"/>
    <w:rsid w:val="00962A82"/>
    <w:rsid w:val="00963E90"/>
    <w:rsid w:val="009731B5"/>
    <w:rsid w:val="009837B9"/>
    <w:rsid w:val="009841F1"/>
    <w:rsid w:val="00992A6C"/>
    <w:rsid w:val="0099426C"/>
    <w:rsid w:val="009959CE"/>
    <w:rsid w:val="009A2CCF"/>
    <w:rsid w:val="009A4DB1"/>
    <w:rsid w:val="009A54FE"/>
    <w:rsid w:val="009A5E9C"/>
    <w:rsid w:val="009B632E"/>
    <w:rsid w:val="009C0758"/>
    <w:rsid w:val="009C17F9"/>
    <w:rsid w:val="009C4628"/>
    <w:rsid w:val="009D2607"/>
    <w:rsid w:val="009D28AE"/>
    <w:rsid w:val="009D5ED2"/>
    <w:rsid w:val="009D78F9"/>
    <w:rsid w:val="009E2117"/>
    <w:rsid w:val="009E21B2"/>
    <w:rsid w:val="009E5797"/>
    <w:rsid w:val="009F15E5"/>
    <w:rsid w:val="009F35BC"/>
    <w:rsid w:val="009F4F2F"/>
    <w:rsid w:val="00A05715"/>
    <w:rsid w:val="00A05E51"/>
    <w:rsid w:val="00A10506"/>
    <w:rsid w:val="00A11C37"/>
    <w:rsid w:val="00A16609"/>
    <w:rsid w:val="00A26F8C"/>
    <w:rsid w:val="00A34BC9"/>
    <w:rsid w:val="00A353E2"/>
    <w:rsid w:val="00A36C07"/>
    <w:rsid w:val="00A37679"/>
    <w:rsid w:val="00A40F8C"/>
    <w:rsid w:val="00A47382"/>
    <w:rsid w:val="00A56035"/>
    <w:rsid w:val="00A6177C"/>
    <w:rsid w:val="00A636D4"/>
    <w:rsid w:val="00A710C4"/>
    <w:rsid w:val="00A84D92"/>
    <w:rsid w:val="00A91AE2"/>
    <w:rsid w:val="00A94989"/>
    <w:rsid w:val="00A96EE7"/>
    <w:rsid w:val="00AA16D3"/>
    <w:rsid w:val="00AA1A28"/>
    <w:rsid w:val="00AA6717"/>
    <w:rsid w:val="00AA6E45"/>
    <w:rsid w:val="00AB1E59"/>
    <w:rsid w:val="00AB44E2"/>
    <w:rsid w:val="00AB497F"/>
    <w:rsid w:val="00AC3561"/>
    <w:rsid w:val="00AC3AB3"/>
    <w:rsid w:val="00AC3B93"/>
    <w:rsid w:val="00AD21BF"/>
    <w:rsid w:val="00AD6166"/>
    <w:rsid w:val="00AE0C8A"/>
    <w:rsid w:val="00AE7856"/>
    <w:rsid w:val="00AF10A8"/>
    <w:rsid w:val="00AF50B3"/>
    <w:rsid w:val="00AF7534"/>
    <w:rsid w:val="00AF7BD4"/>
    <w:rsid w:val="00B017F2"/>
    <w:rsid w:val="00B12024"/>
    <w:rsid w:val="00B1259D"/>
    <w:rsid w:val="00B12A16"/>
    <w:rsid w:val="00B20142"/>
    <w:rsid w:val="00B21568"/>
    <w:rsid w:val="00B21B8F"/>
    <w:rsid w:val="00B24C89"/>
    <w:rsid w:val="00B312BE"/>
    <w:rsid w:val="00B31E41"/>
    <w:rsid w:val="00B41FD7"/>
    <w:rsid w:val="00B45966"/>
    <w:rsid w:val="00B47292"/>
    <w:rsid w:val="00B5112E"/>
    <w:rsid w:val="00B51184"/>
    <w:rsid w:val="00B54682"/>
    <w:rsid w:val="00B5564E"/>
    <w:rsid w:val="00B6409C"/>
    <w:rsid w:val="00B7074C"/>
    <w:rsid w:val="00B71623"/>
    <w:rsid w:val="00B7368E"/>
    <w:rsid w:val="00B75108"/>
    <w:rsid w:val="00B803AE"/>
    <w:rsid w:val="00B83468"/>
    <w:rsid w:val="00B8531D"/>
    <w:rsid w:val="00B86D26"/>
    <w:rsid w:val="00B919B5"/>
    <w:rsid w:val="00B92522"/>
    <w:rsid w:val="00BA608E"/>
    <w:rsid w:val="00BA624A"/>
    <w:rsid w:val="00BB1C87"/>
    <w:rsid w:val="00BB3CB7"/>
    <w:rsid w:val="00BB4292"/>
    <w:rsid w:val="00BC004B"/>
    <w:rsid w:val="00BC044B"/>
    <w:rsid w:val="00BC5681"/>
    <w:rsid w:val="00BD7735"/>
    <w:rsid w:val="00BE2995"/>
    <w:rsid w:val="00BF1DEA"/>
    <w:rsid w:val="00BF258F"/>
    <w:rsid w:val="00BF3DD7"/>
    <w:rsid w:val="00BF6DC0"/>
    <w:rsid w:val="00BF7277"/>
    <w:rsid w:val="00C0015E"/>
    <w:rsid w:val="00C0040A"/>
    <w:rsid w:val="00C03FC6"/>
    <w:rsid w:val="00C049C4"/>
    <w:rsid w:val="00C075D0"/>
    <w:rsid w:val="00C16624"/>
    <w:rsid w:val="00C17E0F"/>
    <w:rsid w:val="00C20067"/>
    <w:rsid w:val="00C20ACB"/>
    <w:rsid w:val="00C2255E"/>
    <w:rsid w:val="00C229B5"/>
    <w:rsid w:val="00C23EB8"/>
    <w:rsid w:val="00C24582"/>
    <w:rsid w:val="00C27EA2"/>
    <w:rsid w:val="00C31619"/>
    <w:rsid w:val="00C32609"/>
    <w:rsid w:val="00C358BF"/>
    <w:rsid w:val="00C36B13"/>
    <w:rsid w:val="00C44E9F"/>
    <w:rsid w:val="00C4501B"/>
    <w:rsid w:val="00C45F94"/>
    <w:rsid w:val="00C561EB"/>
    <w:rsid w:val="00C57E02"/>
    <w:rsid w:val="00C61F24"/>
    <w:rsid w:val="00C63634"/>
    <w:rsid w:val="00C657BB"/>
    <w:rsid w:val="00C70A13"/>
    <w:rsid w:val="00C82C55"/>
    <w:rsid w:val="00C83C40"/>
    <w:rsid w:val="00C866CB"/>
    <w:rsid w:val="00C9251C"/>
    <w:rsid w:val="00C950D5"/>
    <w:rsid w:val="00CA02DF"/>
    <w:rsid w:val="00CA4165"/>
    <w:rsid w:val="00CA712C"/>
    <w:rsid w:val="00CB29A6"/>
    <w:rsid w:val="00CC1BC6"/>
    <w:rsid w:val="00CD0266"/>
    <w:rsid w:val="00CD3672"/>
    <w:rsid w:val="00CD5AD3"/>
    <w:rsid w:val="00CE3251"/>
    <w:rsid w:val="00CE6E84"/>
    <w:rsid w:val="00CF0D17"/>
    <w:rsid w:val="00CF3EED"/>
    <w:rsid w:val="00CF6412"/>
    <w:rsid w:val="00D069A5"/>
    <w:rsid w:val="00D23FE7"/>
    <w:rsid w:val="00D37D32"/>
    <w:rsid w:val="00D40E24"/>
    <w:rsid w:val="00D4365D"/>
    <w:rsid w:val="00D473D9"/>
    <w:rsid w:val="00D52CB3"/>
    <w:rsid w:val="00D56565"/>
    <w:rsid w:val="00D61930"/>
    <w:rsid w:val="00D625D9"/>
    <w:rsid w:val="00D644F0"/>
    <w:rsid w:val="00D649DE"/>
    <w:rsid w:val="00D6671D"/>
    <w:rsid w:val="00D718D2"/>
    <w:rsid w:val="00D72E65"/>
    <w:rsid w:val="00D74835"/>
    <w:rsid w:val="00D766A5"/>
    <w:rsid w:val="00D77F9A"/>
    <w:rsid w:val="00D8058C"/>
    <w:rsid w:val="00D91E37"/>
    <w:rsid w:val="00D92BF7"/>
    <w:rsid w:val="00DA6C55"/>
    <w:rsid w:val="00DA7850"/>
    <w:rsid w:val="00DB5CFD"/>
    <w:rsid w:val="00DC392B"/>
    <w:rsid w:val="00DC4EBE"/>
    <w:rsid w:val="00DC6E51"/>
    <w:rsid w:val="00DD1F9C"/>
    <w:rsid w:val="00DD48A2"/>
    <w:rsid w:val="00DE174E"/>
    <w:rsid w:val="00DE222A"/>
    <w:rsid w:val="00DE2AF0"/>
    <w:rsid w:val="00DF35B6"/>
    <w:rsid w:val="00DF6E40"/>
    <w:rsid w:val="00DF7313"/>
    <w:rsid w:val="00E0366D"/>
    <w:rsid w:val="00E05B0C"/>
    <w:rsid w:val="00E11029"/>
    <w:rsid w:val="00E234E0"/>
    <w:rsid w:val="00E2562D"/>
    <w:rsid w:val="00E36BCC"/>
    <w:rsid w:val="00E564F7"/>
    <w:rsid w:val="00E57F14"/>
    <w:rsid w:val="00E61DEF"/>
    <w:rsid w:val="00E71038"/>
    <w:rsid w:val="00E74E94"/>
    <w:rsid w:val="00E803DF"/>
    <w:rsid w:val="00E821C0"/>
    <w:rsid w:val="00E824A4"/>
    <w:rsid w:val="00E82D52"/>
    <w:rsid w:val="00E86E7F"/>
    <w:rsid w:val="00E91986"/>
    <w:rsid w:val="00E9580D"/>
    <w:rsid w:val="00EA0E52"/>
    <w:rsid w:val="00EA37D2"/>
    <w:rsid w:val="00EA429D"/>
    <w:rsid w:val="00EB0449"/>
    <w:rsid w:val="00EB11C9"/>
    <w:rsid w:val="00EB1202"/>
    <w:rsid w:val="00EC3685"/>
    <w:rsid w:val="00EC798A"/>
    <w:rsid w:val="00EE30F0"/>
    <w:rsid w:val="00EF3734"/>
    <w:rsid w:val="00EF5E4F"/>
    <w:rsid w:val="00F00038"/>
    <w:rsid w:val="00F012D4"/>
    <w:rsid w:val="00F051F6"/>
    <w:rsid w:val="00F07DB8"/>
    <w:rsid w:val="00F164D8"/>
    <w:rsid w:val="00F27836"/>
    <w:rsid w:val="00F30EEA"/>
    <w:rsid w:val="00F37C9E"/>
    <w:rsid w:val="00F41A9E"/>
    <w:rsid w:val="00F4566E"/>
    <w:rsid w:val="00F45F19"/>
    <w:rsid w:val="00F466CE"/>
    <w:rsid w:val="00F578D6"/>
    <w:rsid w:val="00F62D99"/>
    <w:rsid w:val="00F6506E"/>
    <w:rsid w:val="00F8023E"/>
    <w:rsid w:val="00F81E66"/>
    <w:rsid w:val="00F84C6F"/>
    <w:rsid w:val="00F867FF"/>
    <w:rsid w:val="00F9146C"/>
    <w:rsid w:val="00F93C8F"/>
    <w:rsid w:val="00F94BBA"/>
    <w:rsid w:val="00FA27B2"/>
    <w:rsid w:val="00FA36E3"/>
    <w:rsid w:val="00FA695B"/>
    <w:rsid w:val="00FB0AD1"/>
    <w:rsid w:val="00FB0DC4"/>
    <w:rsid w:val="00FC2F88"/>
    <w:rsid w:val="00FC3077"/>
    <w:rsid w:val="00FC5B75"/>
    <w:rsid w:val="00FC64D1"/>
    <w:rsid w:val="00FD0647"/>
    <w:rsid w:val="00FD1306"/>
    <w:rsid w:val="00FD2797"/>
    <w:rsid w:val="00FD2994"/>
    <w:rsid w:val="00FD51B3"/>
    <w:rsid w:val="00FE38EC"/>
    <w:rsid w:val="00FE6608"/>
    <w:rsid w:val="00FF1061"/>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29929"/>
  <w15:chartTrackingRefBased/>
  <w15:docId w15:val="{447B106F-2AC5-4A86-A390-35585DF9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color w:val="000099"/>
    </w:rPr>
  </w:style>
  <w:style w:type="character" w:styleId="Strong">
    <w:name w:val="Strong"/>
    <w:uiPriority w:val="22"/>
    <w:qFormat/>
    <w:rPr>
      <w:b/>
      <w:bCs/>
    </w:rPr>
  </w:style>
  <w:style w:type="character" w:styleId="Hyperlink">
    <w:name w:val="Hyperlink"/>
    <w:uiPriority w:val="99"/>
    <w:rPr>
      <w:color w:val="0000FF"/>
      <w:u w:val="single"/>
    </w:rPr>
  </w:style>
  <w:style w:type="paragraph" w:styleId="Title">
    <w:name w:val="Title"/>
    <w:basedOn w:val="Normal"/>
    <w:qFormat/>
    <w:pPr>
      <w:autoSpaceDE w:val="0"/>
      <w:autoSpaceDN w:val="0"/>
      <w:adjustRightInd w:val="0"/>
      <w:jc w:val="center"/>
    </w:pPr>
    <w:rPr>
      <w:b/>
      <w:bCs/>
      <w:sz w:val="44"/>
      <w:szCs w:val="44"/>
    </w:rPr>
  </w:style>
  <w:style w:type="character" w:styleId="FollowedHyperlink">
    <w:name w:val="FollowedHyperlink"/>
    <w:rPr>
      <w:color w:val="800080"/>
      <w:u w:val="single"/>
    </w:rPr>
  </w:style>
  <w:style w:type="character" w:customStyle="1" w:styleId="content1">
    <w:name w:val="content1"/>
    <w:rPr>
      <w:rFonts w:ascii="Arial" w:hAnsi="Arial" w:cs="Arial" w:hint="default"/>
      <w:color w:val="000000"/>
      <w:sz w:val="17"/>
      <w:szCs w:val="17"/>
    </w:rPr>
  </w:style>
  <w:style w:type="paragraph" w:styleId="BodyTextIndent3">
    <w:name w:val="Body Text Indent 3"/>
    <w:basedOn w:val="Normal"/>
    <w:pPr>
      <w:autoSpaceDE w:val="0"/>
      <w:autoSpaceDN w:val="0"/>
      <w:adjustRightInd w:val="0"/>
      <w:spacing w:before="100" w:beforeAutospacing="1" w:after="100" w:afterAutospacing="1"/>
      <w:ind w:left="360"/>
      <w:jc w:val="both"/>
    </w:pPr>
    <w:rPr>
      <w:color w:val="000000"/>
      <w:szCs w:val="18"/>
    </w:rPr>
  </w:style>
  <w:style w:type="paragraph" w:customStyle="1" w:styleId="bodytext">
    <w:name w:val="bodytext"/>
    <w:basedOn w:val="Normal"/>
    <w:pPr>
      <w:spacing w:before="100" w:beforeAutospacing="1" w:after="100" w:afterAutospacing="1"/>
    </w:pPr>
    <w:rPr>
      <w:rFonts w:ascii="Arial" w:hAnsi="Arial" w:cs="Arial"/>
      <w:color w:val="000000"/>
      <w:sz w:val="18"/>
      <w:szCs w:val="18"/>
    </w:rPr>
  </w:style>
  <w:style w:type="paragraph" w:customStyle="1" w:styleId="BHeading4">
    <w:name w:val="BHeading4"/>
    <w:basedOn w:val="Normal"/>
    <w:pPr>
      <w:spacing w:line="240" w:lineRule="exact"/>
    </w:pPr>
    <w:rPr>
      <w:rFonts w:ascii="CG Times (WN)" w:hAnsi="CG Times (WN)"/>
      <w:sz w:val="22"/>
      <w:szCs w:val="20"/>
    </w:rPr>
  </w:style>
  <w:style w:type="character" w:customStyle="1" w:styleId="normalloose1">
    <w:name w:val="normalloose1"/>
    <w:rPr>
      <w:rFonts w:ascii="Verdana" w:hAnsi="Verdana" w:hint="default"/>
      <w:sz w:val="18"/>
      <w:szCs w:val="18"/>
    </w:rPr>
  </w:style>
  <w:style w:type="paragraph" w:styleId="BodyTextIndent">
    <w:name w:val="Body Text Indent"/>
    <w:basedOn w:val="Normal"/>
    <w:pPr>
      <w:ind w:firstLine="720"/>
      <w:jc w:val="both"/>
    </w:pPr>
  </w:style>
  <w:style w:type="paragraph" w:styleId="BodyText0">
    <w:name w:val="Body Text"/>
    <w:basedOn w:val="Normal"/>
    <w:pPr>
      <w:jc w:val="both"/>
    </w:pPr>
  </w:style>
  <w:style w:type="character" w:styleId="FootnoteReference">
    <w:name w:val="footnote reference"/>
    <w:semiHidden/>
  </w:style>
  <w:style w:type="character" w:customStyle="1" w:styleId="Hypertext">
    <w:name w:val="Hypertext"/>
    <w:rPr>
      <w:color w:val="0000FF"/>
      <w:u w:val="single"/>
    </w:rPr>
  </w:style>
  <w:style w:type="character" w:styleId="Emphasis">
    <w:name w:val="Emphasis"/>
    <w:uiPriority w:val="20"/>
    <w:qFormat/>
    <w:rsid w:val="00B7074C"/>
    <w:rPr>
      <w:i/>
      <w:iCs/>
    </w:rPr>
  </w:style>
  <w:style w:type="paragraph" w:customStyle="1" w:styleId="msolistparagraph0">
    <w:name w:val="msolistparagraph"/>
    <w:basedOn w:val="Normal"/>
    <w:rsid w:val="009D5ED2"/>
    <w:pPr>
      <w:ind w:left="720"/>
    </w:pPr>
    <w:rPr>
      <w:rFonts w:ascii="Calibri" w:hAnsi="Calibri"/>
      <w:sz w:val="22"/>
      <w:szCs w:val="22"/>
    </w:rPr>
  </w:style>
  <w:style w:type="paragraph" w:styleId="Footer">
    <w:name w:val="footer"/>
    <w:basedOn w:val="Normal"/>
    <w:rsid w:val="00DE2AF0"/>
    <w:pPr>
      <w:tabs>
        <w:tab w:val="center" w:pos="4320"/>
        <w:tab w:val="right" w:pos="8640"/>
      </w:tabs>
    </w:pPr>
  </w:style>
  <w:style w:type="character" w:styleId="PageNumber">
    <w:name w:val="page number"/>
    <w:basedOn w:val="DefaultParagraphFont"/>
    <w:rsid w:val="00DE2AF0"/>
  </w:style>
  <w:style w:type="paragraph" w:styleId="Header">
    <w:name w:val="header"/>
    <w:basedOn w:val="Normal"/>
    <w:rsid w:val="00DE2AF0"/>
    <w:pPr>
      <w:tabs>
        <w:tab w:val="center" w:pos="4320"/>
        <w:tab w:val="right" w:pos="8640"/>
      </w:tabs>
    </w:pPr>
  </w:style>
  <w:style w:type="character" w:customStyle="1" w:styleId="xref">
    <w:name w:val="xref"/>
    <w:rsid w:val="00514B0B"/>
    <w:rPr>
      <w:color w:val="auto"/>
    </w:rPr>
  </w:style>
  <w:style w:type="paragraph" w:styleId="FootnoteText">
    <w:name w:val="footnote text"/>
    <w:basedOn w:val="Normal"/>
    <w:link w:val="FootnoteTextChar"/>
    <w:rsid w:val="00514B0B"/>
    <w:pPr>
      <w:ind w:firstLine="360"/>
    </w:pPr>
    <w:rPr>
      <w:sz w:val="22"/>
      <w:szCs w:val="22"/>
    </w:rPr>
  </w:style>
  <w:style w:type="paragraph" w:customStyle="1" w:styleId="Default">
    <w:name w:val="Default"/>
    <w:rsid w:val="001E1A8D"/>
    <w:pPr>
      <w:autoSpaceDE w:val="0"/>
      <w:autoSpaceDN w:val="0"/>
      <w:adjustRightInd w:val="0"/>
    </w:pPr>
    <w:rPr>
      <w:color w:val="000000"/>
      <w:sz w:val="24"/>
      <w:szCs w:val="24"/>
    </w:rPr>
  </w:style>
  <w:style w:type="paragraph" w:styleId="NoSpacing">
    <w:name w:val="No Spacing"/>
    <w:uiPriority w:val="1"/>
    <w:qFormat/>
    <w:rsid w:val="00385C1E"/>
    <w:rPr>
      <w:rFonts w:ascii="Calibri" w:eastAsia="Calibri" w:hAnsi="Calibri"/>
      <w:sz w:val="22"/>
      <w:szCs w:val="22"/>
    </w:rPr>
  </w:style>
  <w:style w:type="paragraph" w:styleId="BodyTextIndent2">
    <w:name w:val="Body Text Indent 2"/>
    <w:basedOn w:val="Normal"/>
    <w:link w:val="BodyTextIndent2Char"/>
    <w:uiPriority w:val="99"/>
    <w:semiHidden/>
    <w:unhideWhenUsed/>
    <w:rsid w:val="002D394E"/>
    <w:pPr>
      <w:spacing w:after="120" w:line="480" w:lineRule="auto"/>
      <w:ind w:left="360"/>
    </w:pPr>
  </w:style>
  <w:style w:type="character" w:customStyle="1" w:styleId="BodyTextIndent2Char">
    <w:name w:val="Body Text Indent 2 Char"/>
    <w:link w:val="BodyTextIndent2"/>
    <w:uiPriority w:val="99"/>
    <w:semiHidden/>
    <w:rsid w:val="002D394E"/>
    <w:rPr>
      <w:sz w:val="24"/>
      <w:szCs w:val="24"/>
    </w:rPr>
  </w:style>
  <w:style w:type="paragraph" w:styleId="BodyText3">
    <w:name w:val="Body Text 3"/>
    <w:basedOn w:val="Normal"/>
    <w:link w:val="BodyText3Char"/>
    <w:uiPriority w:val="99"/>
    <w:unhideWhenUsed/>
    <w:rsid w:val="002D394E"/>
    <w:pPr>
      <w:spacing w:after="120"/>
    </w:pPr>
    <w:rPr>
      <w:sz w:val="16"/>
      <w:szCs w:val="16"/>
    </w:rPr>
  </w:style>
  <w:style w:type="character" w:customStyle="1" w:styleId="BodyText3Char">
    <w:name w:val="Body Text 3 Char"/>
    <w:link w:val="BodyText3"/>
    <w:uiPriority w:val="99"/>
    <w:rsid w:val="002D394E"/>
    <w:rPr>
      <w:sz w:val="16"/>
      <w:szCs w:val="16"/>
    </w:rPr>
  </w:style>
  <w:style w:type="paragraph" w:customStyle="1" w:styleId="Text">
    <w:name w:val="Text"/>
    <w:basedOn w:val="Normal"/>
    <w:rsid w:val="008F3BB2"/>
    <w:pPr>
      <w:widowControl w:val="0"/>
      <w:autoSpaceDE w:val="0"/>
      <w:autoSpaceDN w:val="0"/>
      <w:adjustRightInd w:val="0"/>
      <w:spacing w:before="120" w:line="220" w:lineRule="atLeast"/>
      <w:ind w:firstLine="360"/>
      <w:jc w:val="both"/>
      <w:textAlignment w:val="center"/>
    </w:pPr>
    <w:rPr>
      <w:rFonts w:cs="Times"/>
      <w:sz w:val="22"/>
      <w:szCs w:val="22"/>
    </w:rPr>
  </w:style>
  <w:style w:type="character" w:customStyle="1" w:styleId="FootnoteTextChar">
    <w:name w:val="Footnote Text Char"/>
    <w:link w:val="FootnoteText"/>
    <w:rsid w:val="00607362"/>
    <w:rPr>
      <w:sz w:val="22"/>
      <w:szCs w:val="22"/>
    </w:rPr>
  </w:style>
  <w:style w:type="character" w:styleId="UnresolvedMention">
    <w:name w:val="Unresolved Mention"/>
    <w:uiPriority w:val="99"/>
    <w:semiHidden/>
    <w:unhideWhenUsed/>
    <w:rsid w:val="00586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6837">
      <w:bodyDiv w:val="1"/>
      <w:marLeft w:val="0"/>
      <w:marRight w:val="0"/>
      <w:marTop w:val="0"/>
      <w:marBottom w:val="0"/>
      <w:divBdr>
        <w:top w:val="none" w:sz="0" w:space="0" w:color="auto"/>
        <w:left w:val="none" w:sz="0" w:space="0" w:color="auto"/>
        <w:bottom w:val="none" w:sz="0" w:space="0" w:color="auto"/>
        <w:right w:val="none" w:sz="0" w:space="0" w:color="auto"/>
      </w:divBdr>
      <w:divsChild>
        <w:div w:id="399405371">
          <w:marLeft w:val="0"/>
          <w:marRight w:val="0"/>
          <w:marTop w:val="0"/>
          <w:marBottom w:val="0"/>
          <w:divBdr>
            <w:top w:val="none" w:sz="0" w:space="0" w:color="auto"/>
            <w:left w:val="none" w:sz="0" w:space="0" w:color="auto"/>
            <w:bottom w:val="none" w:sz="0" w:space="0" w:color="auto"/>
            <w:right w:val="none" w:sz="0" w:space="0" w:color="auto"/>
          </w:divBdr>
        </w:div>
      </w:divsChild>
    </w:div>
    <w:div w:id="85464786">
      <w:bodyDiv w:val="1"/>
      <w:marLeft w:val="0"/>
      <w:marRight w:val="0"/>
      <w:marTop w:val="0"/>
      <w:marBottom w:val="0"/>
      <w:divBdr>
        <w:top w:val="none" w:sz="0" w:space="0" w:color="auto"/>
        <w:left w:val="none" w:sz="0" w:space="0" w:color="auto"/>
        <w:bottom w:val="none" w:sz="0" w:space="0" w:color="auto"/>
        <w:right w:val="none" w:sz="0" w:space="0" w:color="auto"/>
      </w:divBdr>
    </w:div>
    <w:div w:id="96946006">
      <w:bodyDiv w:val="1"/>
      <w:marLeft w:val="0"/>
      <w:marRight w:val="0"/>
      <w:marTop w:val="0"/>
      <w:marBottom w:val="0"/>
      <w:divBdr>
        <w:top w:val="none" w:sz="0" w:space="0" w:color="auto"/>
        <w:left w:val="none" w:sz="0" w:space="0" w:color="auto"/>
        <w:bottom w:val="none" w:sz="0" w:space="0" w:color="auto"/>
        <w:right w:val="none" w:sz="0" w:space="0" w:color="auto"/>
      </w:divBdr>
      <w:divsChild>
        <w:div w:id="1680085644">
          <w:marLeft w:val="0"/>
          <w:marRight w:val="0"/>
          <w:marTop w:val="0"/>
          <w:marBottom w:val="0"/>
          <w:divBdr>
            <w:top w:val="none" w:sz="0" w:space="0" w:color="auto"/>
            <w:left w:val="none" w:sz="0" w:space="0" w:color="auto"/>
            <w:bottom w:val="none" w:sz="0" w:space="0" w:color="auto"/>
            <w:right w:val="none" w:sz="0" w:space="0" w:color="auto"/>
          </w:divBdr>
        </w:div>
      </w:divsChild>
    </w:div>
    <w:div w:id="127016813">
      <w:bodyDiv w:val="1"/>
      <w:marLeft w:val="0"/>
      <w:marRight w:val="0"/>
      <w:marTop w:val="0"/>
      <w:marBottom w:val="0"/>
      <w:divBdr>
        <w:top w:val="none" w:sz="0" w:space="0" w:color="auto"/>
        <w:left w:val="none" w:sz="0" w:space="0" w:color="auto"/>
        <w:bottom w:val="none" w:sz="0" w:space="0" w:color="auto"/>
        <w:right w:val="none" w:sz="0" w:space="0" w:color="auto"/>
      </w:divBdr>
      <w:divsChild>
        <w:div w:id="1343825805">
          <w:marLeft w:val="0"/>
          <w:marRight w:val="0"/>
          <w:marTop w:val="0"/>
          <w:marBottom w:val="0"/>
          <w:divBdr>
            <w:top w:val="none" w:sz="0" w:space="0" w:color="auto"/>
            <w:left w:val="none" w:sz="0" w:space="0" w:color="auto"/>
            <w:bottom w:val="none" w:sz="0" w:space="0" w:color="auto"/>
            <w:right w:val="none" w:sz="0" w:space="0" w:color="auto"/>
          </w:divBdr>
        </w:div>
        <w:div w:id="1363820942">
          <w:marLeft w:val="0"/>
          <w:marRight w:val="0"/>
          <w:marTop w:val="0"/>
          <w:marBottom w:val="0"/>
          <w:divBdr>
            <w:top w:val="none" w:sz="0" w:space="0" w:color="auto"/>
            <w:left w:val="none" w:sz="0" w:space="0" w:color="auto"/>
            <w:bottom w:val="none" w:sz="0" w:space="0" w:color="auto"/>
            <w:right w:val="none" w:sz="0" w:space="0" w:color="auto"/>
          </w:divBdr>
        </w:div>
      </w:divsChild>
    </w:div>
    <w:div w:id="186716869">
      <w:bodyDiv w:val="1"/>
      <w:marLeft w:val="0"/>
      <w:marRight w:val="0"/>
      <w:marTop w:val="0"/>
      <w:marBottom w:val="0"/>
      <w:divBdr>
        <w:top w:val="none" w:sz="0" w:space="0" w:color="auto"/>
        <w:left w:val="none" w:sz="0" w:space="0" w:color="auto"/>
        <w:bottom w:val="none" w:sz="0" w:space="0" w:color="auto"/>
        <w:right w:val="none" w:sz="0" w:space="0" w:color="auto"/>
      </w:divBdr>
      <w:divsChild>
        <w:div w:id="309748973">
          <w:marLeft w:val="0"/>
          <w:marRight w:val="0"/>
          <w:marTop w:val="0"/>
          <w:marBottom w:val="0"/>
          <w:divBdr>
            <w:top w:val="none" w:sz="0" w:space="0" w:color="auto"/>
            <w:left w:val="none" w:sz="0" w:space="0" w:color="auto"/>
            <w:bottom w:val="none" w:sz="0" w:space="0" w:color="auto"/>
            <w:right w:val="none" w:sz="0" w:space="0" w:color="auto"/>
          </w:divBdr>
          <w:divsChild>
            <w:div w:id="463355809">
              <w:marLeft w:val="0"/>
              <w:marRight w:val="0"/>
              <w:marTop w:val="0"/>
              <w:marBottom w:val="0"/>
              <w:divBdr>
                <w:top w:val="none" w:sz="0" w:space="0" w:color="auto"/>
                <w:left w:val="none" w:sz="0" w:space="0" w:color="auto"/>
                <w:bottom w:val="none" w:sz="0" w:space="0" w:color="auto"/>
                <w:right w:val="none" w:sz="0" w:space="0" w:color="auto"/>
              </w:divBdr>
              <w:divsChild>
                <w:div w:id="1224290034">
                  <w:marLeft w:val="0"/>
                  <w:marRight w:val="0"/>
                  <w:marTop w:val="0"/>
                  <w:marBottom w:val="0"/>
                  <w:divBdr>
                    <w:top w:val="none" w:sz="0" w:space="0" w:color="auto"/>
                    <w:left w:val="none" w:sz="0" w:space="0" w:color="auto"/>
                    <w:bottom w:val="none" w:sz="0" w:space="0" w:color="auto"/>
                    <w:right w:val="none" w:sz="0" w:space="0" w:color="auto"/>
                  </w:divBdr>
                  <w:divsChild>
                    <w:div w:id="1835216674">
                      <w:marLeft w:val="0"/>
                      <w:marRight w:val="0"/>
                      <w:marTop w:val="0"/>
                      <w:marBottom w:val="0"/>
                      <w:divBdr>
                        <w:top w:val="none" w:sz="0" w:space="0" w:color="auto"/>
                        <w:left w:val="none" w:sz="0" w:space="0" w:color="auto"/>
                        <w:bottom w:val="none" w:sz="0" w:space="0" w:color="auto"/>
                        <w:right w:val="none" w:sz="0" w:space="0" w:color="auto"/>
                      </w:divBdr>
                      <w:divsChild>
                        <w:div w:id="1107894480">
                          <w:marLeft w:val="0"/>
                          <w:marRight w:val="0"/>
                          <w:marTop w:val="0"/>
                          <w:marBottom w:val="0"/>
                          <w:divBdr>
                            <w:top w:val="none" w:sz="0" w:space="0" w:color="auto"/>
                            <w:left w:val="none" w:sz="0" w:space="0" w:color="auto"/>
                            <w:bottom w:val="none" w:sz="0" w:space="0" w:color="auto"/>
                            <w:right w:val="none" w:sz="0" w:space="0" w:color="auto"/>
                          </w:divBdr>
                          <w:divsChild>
                            <w:div w:id="9318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53178">
      <w:bodyDiv w:val="1"/>
      <w:marLeft w:val="0"/>
      <w:marRight w:val="0"/>
      <w:marTop w:val="0"/>
      <w:marBottom w:val="0"/>
      <w:divBdr>
        <w:top w:val="none" w:sz="0" w:space="0" w:color="auto"/>
        <w:left w:val="none" w:sz="0" w:space="0" w:color="auto"/>
        <w:bottom w:val="none" w:sz="0" w:space="0" w:color="auto"/>
        <w:right w:val="none" w:sz="0" w:space="0" w:color="auto"/>
      </w:divBdr>
    </w:div>
    <w:div w:id="287862566">
      <w:bodyDiv w:val="1"/>
      <w:marLeft w:val="0"/>
      <w:marRight w:val="0"/>
      <w:marTop w:val="0"/>
      <w:marBottom w:val="0"/>
      <w:divBdr>
        <w:top w:val="none" w:sz="0" w:space="0" w:color="auto"/>
        <w:left w:val="none" w:sz="0" w:space="0" w:color="auto"/>
        <w:bottom w:val="none" w:sz="0" w:space="0" w:color="auto"/>
        <w:right w:val="none" w:sz="0" w:space="0" w:color="auto"/>
      </w:divBdr>
    </w:div>
    <w:div w:id="364720811">
      <w:bodyDiv w:val="1"/>
      <w:marLeft w:val="0"/>
      <w:marRight w:val="0"/>
      <w:marTop w:val="0"/>
      <w:marBottom w:val="0"/>
      <w:divBdr>
        <w:top w:val="none" w:sz="0" w:space="0" w:color="auto"/>
        <w:left w:val="none" w:sz="0" w:space="0" w:color="auto"/>
        <w:bottom w:val="none" w:sz="0" w:space="0" w:color="auto"/>
        <w:right w:val="none" w:sz="0" w:space="0" w:color="auto"/>
      </w:divBdr>
      <w:divsChild>
        <w:div w:id="949430699">
          <w:marLeft w:val="0"/>
          <w:marRight w:val="0"/>
          <w:marTop w:val="0"/>
          <w:marBottom w:val="0"/>
          <w:divBdr>
            <w:top w:val="none" w:sz="0" w:space="0" w:color="auto"/>
            <w:left w:val="none" w:sz="0" w:space="0" w:color="auto"/>
            <w:bottom w:val="none" w:sz="0" w:space="0" w:color="auto"/>
            <w:right w:val="none" w:sz="0" w:space="0" w:color="auto"/>
          </w:divBdr>
        </w:div>
      </w:divsChild>
    </w:div>
    <w:div w:id="438258962">
      <w:bodyDiv w:val="1"/>
      <w:marLeft w:val="0"/>
      <w:marRight w:val="0"/>
      <w:marTop w:val="0"/>
      <w:marBottom w:val="0"/>
      <w:divBdr>
        <w:top w:val="none" w:sz="0" w:space="0" w:color="auto"/>
        <w:left w:val="none" w:sz="0" w:space="0" w:color="auto"/>
        <w:bottom w:val="none" w:sz="0" w:space="0" w:color="auto"/>
        <w:right w:val="none" w:sz="0" w:space="0" w:color="auto"/>
      </w:divBdr>
    </w:div>
    <w:div w:id="470173403">
      <w:bodyDiv w:val="1"/>
      <w:marLeft w:val="0"/>
      <w:marRight w:val="0"/>
      <w:marTop w:val="0"/>
      <w:marBottom w:val="0"/>
      <w:divBdr>
        <w:top w:val="none" w:sz="0" w:space="0" w:color="auto"/>
        <w:left w:val="none" w:sz="0" w:space="0" w:color="auto"/>
        <w:bottom w:val="none" w:sz="0" w:space="0" w:color="auto"/>
        <w:right w:val="none" w:sz="0" w:space="0" w:color="auto"/>
      </w:divBdr>
    </w:div>
    <w:div w:id="485509274">
      <w:bodyDiv w:val="1"/>
      <w:marLeft w:val="0"/>
      <w:marRight w:val="0"/>
      <w:marTop w:val="0"/>
      <w:marBottom w:val="0"/>
      <w:divBdr>
        <w:top w:val="none" w:sz="0" w:space="0" w:color="auto"/>
        <w:left w:val="none" w:sz="0" w:space="0" w:color="auto"/>
        <w:bottom w:val="none" w:sz="0" w:space="0" w:color="auto"/>
        <w:right w:val="none" w:sz="0" w:space="0" w:color="auto"/>
      </w:divBdr>
    </w:div>
    <w:div w:id="584846945">
      <w:bodyDiv w:val="1"/>
      <w:marLeft w:val="0"/>
      <w:marRight w:val="0"/>
      <w:marTop w:val="0"/>
      <w:marBottom w:val="0"/>
      <w:divBdr>
        <w:top w:val="none" w:sz="0" w:space="0" w:color="auto"/>
        <w:left w:val="none" w:sz="0" w:space="0" w:color="auto"/>
        <w:bottom w:val="none" w:sz="0" w:space="0" w:color="auto"/>
        <w:right w:val="none" w:sz="0" w:space="0" w:color="auto"/>
      </w:divBdr>
      <w:divsChild>
        <w:div w:id="1239826463">
          <w:marLeft w:val="0"/>
          <w:marRight w:val="0"/>
          <w:marTop w:val="0"/>
          <w:marBottom w:val="180"/>
          <w:divBdr>
            <w:top w:val="none" w:sz="0" w:space="0" w:color="auto"/>
            <w:left w:val="none" w:sz="0" w:space="0" w:color="auto"/>
            <w:bottom w:val="none" w:sz="0" w:space="0" w:color="auto"/>
            <w:right w:val="none" w:sz="0" w:space="0" w:color="auto"/>
          </w:divBdr>
        </w:div>
        <w:div w:id="181357451">
          <w:marLeft w:val="0"/>
          <w:marRight w:val="0"/>
          <w:marTop w:val="0"/>
          <w:marBottom w:val="180"/>
          <w:divBdr>
            <w:top w:val="none" w:sz="0" w:space="0" w:color="auto"/>
            <w:left w:val="none" w:sz="0" w:space="0" w:color="auto"/>
            <w:bottom w:val="none" w:sz="0" w:space="0" w:color="auto"/>
            <w:right w:val="none" w:sz="0" w:space="0" w:color="auto"/>
          </w:divBdr>
        </w:div>
      </w:divsChild>
    </w:div>
    <w:div w:id="600918479">
      <w:bodyDiv w:val="1"/>
      <w:marLeft w:val="0"/>
      <w:marRight w:val="0"/>
      <w:marTop w:val="0"/>
      <w:marBottom w:val="0"/>
      <w:divBdr>
        <w:top w:val="none" w:sz="0" w:space="0" w:color="auto"/>
        <w:left w:val="none" w:sz="0" w:space="0" w:color="auto"/>
        <w:bottom w:val="none" w:sz="0" w:space="0" w:color="auto"/>
        <w:right w:val="none" w:sz="0" w:space="0" w:color="auto"/>
      </w:divBdr>
      <w:divsChild>
        <w:div w:id="822769977">
          <w:marLeft w:val="0"/>
          <w:marRight w:val="0"/>
          <w:marTop w:val="0"/>
          <w:marBottom w:val="0"/>
          <w:divBdr>
            <w:top w:val="none" w:sz="0" w:space="0" w:color="auto"/>
            <w:left w:val="none" w:sz="0" w:space="0" w:color="auto"/>
            <w:bottom w:val="none" w:sz="0" w:space="0" w:color="auto"/>
            <w:right w:val="none" w:sz="0" w:space="0" w:color="auto"/>
          </w:divBdr>
        </w:div>
      </w:divsChild>
    </w:div>
    <w:div w:id="718869752">
      <w:bodyDiv w:val="1"/>
      <w:marLeft w:val="0"/>
      <w:marRight w:val="0"/>
      <w:marTop w:val="0"/>
      <w:marBottom w:val="0"/>
      <w:divBdr>
        <w:top w:val="none" w:sz="0" w:space="0" w:color="auto"/>
        <w:left w:val="none" w:sz="0" w:space="0" w:color="auto"/>
        <w:bottom w:val="none" w:sz="0" w:space="0" w:color="auto"/>
        <w:right w:val="none" w:sz="0" w:space="0" w:color="auto"/>
      </w:divBdr>
      <w:divsChild>
        <w:div w:id="1475873066">
          <w:marLeft w:val="0"/>
          <w:marRight w:val="0"/>
          <w:marTop w:val="0"/>
          <w:marBottom w:val="0"/>
          <w:divBdr>
            <w:top w:val="none" w:sz="0" w:space="0" w:color="auto"/>
            <w:left w:val="none" w:sz="0" w:space="0" w:color="auto"/>
            <w:bottom w:val="none" w:sz="0" w:space="0" w:color="auto"/>
            <w:right w:val="none" w:sz="0" w:space="0" w:color="auto"/>
          </w:divBdr>
        </w:div>
      </w:divsChild>
    </w:div>
    <w:div w:id="725643939">
      <w:bodyDiv w:val="1"/>
      <w:marLeft w:val="0"/>
      <w:marRight w:val="0"/>
      <w:marTop w:val="0"/>
      <w:marBottom w:val="0"/>
      <w:divBdr>
        <w:top w:val="none" w:sz="0" w:space="0" w:color="auto"/>
        <w:left w:val="none" w:sz="0" w:space="0" w:color="auto"/>
        <w:bottom w:val="none" w:sz="0" w:space="0" w:color="auto"/>
        <w:right w:val="none" w:sz="0" w:space="0" w:color="auto"/>
      </w:divBdr>
      <w:divsChild>
        <w:div w:id="397410375">
          <w:marLeft w:val="0"/>
          <w:marRight w:val="0"/>
          <w:marTop w:val="0"/>
          <w:marBottom w:val="0"/>
          <w:divBdr>
            <w:top w:val="none" w:sz="0" w:space="0" w:color="auto"/>
            <w:left w:val="none" w:sz="0" w:space="0" w:color="auto"/>
            <w:bottom w:val="none" w:sz="0" w:space="0" w:color="auto"/>
            <w:right w:val="none" w:sz="0" w:space="0" w:color="auto"/>
          </w:divBdr>
        </w:div>
      </w:divsChild>
    </w:div>
    <w:div w:id="851408531">
      <w:bodyDiv w:val="1"/>
      <w:marLeft w:val="0"/>
      <w:marRight w:val="0"/>
      <w:marTop w:val="0"/>
      <w:marBottom w:val="0"/>
      <w:divBdr>
        <w:top w:val="none" w:sz="0" w:space="0" w:color="auto"/>
        <w:left w:val="none" w:sz="0" w:space="0" w:color="auto"/>
        <w:bottom w:val="none" w:sz="0" w:space="0" w:color="auto"/>
        <w:right w:val="none" w:sz="0" w:space="0" w:color="auto"/>
      </w:divBdr>
      <w:divsChild>
        <w:div w:id="1402872609">
          <w:marLeft w:val="0"/>
          <w:marRight w:val="0"/>
          <w:marTop w:val="0"/>
          <w:marBottom w:val="0"/>
          <w:divBdr>
            <w:top w:val="none" w:sz="0" w:space="0" w:color="auto"/>
            <w:left w:val="none" w:sz="0" w:space="0" w:color="auto"/>
            <w:bottom w:val="none" w:sz="0" w:space="0" w:color="auto"/>
            <w:right w:val="none" w:sz="0" w:space="0" w:color="auto"/>
          </w:divBdr>
        </w:div>
      </w:divsChild>
    </w:div>
    <w:div w:id="909268453">
      <w:bodyDiv w:val="1"/>
      <w:marLeft w:val="0"/>
      <w:marRight w:val="0"/>
      <w:marTop w:val="0"/>
      <w:marBottom w:val="0"/>
      <w:divBdr>
        <w:top w:val="none" w:sz="0" w:space="0" w:color="auto"/>
        <w:left w:val="none" w:sz="0" w:space="0" w:color="auto"/>
        <w:bottom w:val="none" w:sz="0" w:space="0" w:color="auto"/>
        <w:right w:val="none" w:sz="0" w:space="0" w:color="auto"/>
      </w:divBdr>
      <w:divsChild>
        <w:div w:id="1393849834">
          <w:marLeft w:val="0"/>
          <w:marRight w:val="0"/>
          <w:marTop w:val="0"/>
          <w:marBottom w:val="0"/>
          <w:divBdr>
            <w:top w:val="none" w:sz="0" w:space="0" w:color="auto"/>
            <w:left w:val="none" w:sz="0" w:space="0" w:color="auto"/>
            <w:bottom w:val="none" w:sz="0" w:space="0" w:color="auto"/>
            <w:right w:val="none" w:sz="0" w:space="0" w:color="auto"/>
          </w:divBdr>
          <w:divsChild>
            <w:div w:id="19393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5823">
      <w:bodyDiv w:val="1"/>
      <w:marLeft w:val="0"/>
      <w:marRight w:val="0"/>
      <w:marTop w:val="0"/>
      <w:marBottom w:val="0"/>
      <w:divBdr>
        <w:top w:val="none" w:sz="0" w:space="0" w:color="auto"/>
        <w:left w:val="none" w:sz="0" w:space="0" w:color="auto"/>
        <w:bottom w:val="none" w:sz="0" w:space="0" w:color="auto"/>
        <w:right w:val="none" w:sz="0" w:space="0" w:color="auto"/>
      </w:divBdr>
    </w:div>
    <w:div w:id="1011640931">
      <w:bodyDiv w:val="1"/>
      <w:marLeft w:val="0"/>
      <w:marRight w:val="0"/>
      <w:marTop w:val="0"/>
      <w:marBottom w:val="0"/>
      <w:divBdr>
        <w:top w:val="none" w:sz="0" w:space="0" w:color="auto"/>
        <w:left w:val="none" w:sz="0" w:space="0" w:color="auto"/>
        <w:bottom w:val="none" w:sz="0" w:space="0" w:color="auto"/>
        <w:right w:val="none" w:sz="0" w:space="0" w:color="auto"/>
      </w:divBdr>
    </w:div>
    <w:div w:id="1162355216">
      <w:bodyDiv w:val="1"/>
      <w:marLeft w:val="0"/>
      <w:marRight w:val="0"/>
      <w:marTop w:val="0"/>
      <w:marBottom w:val="0"/>
      <w:divBdr>
        <w:top w:val="none" w:sz="0" w:space="0" w:color="auto"/>
        <w:left w:val="none" w:sz="0" w:space="0" w:color="auto"/>
        <w:bottom w:val="none" w:sz="0" w:space="0" w:color="auto"/>
        <w:right w:val="none" w:sz="0" w:space="0" w:color="auto"/>
      </w:divBdr>
    </w:div>
    <w:div w:id="1295255011">
      <w:bodyDiv w:val="1"/>
      <w:marLeft w:val="0"/>
      <w:marRight w:val="0"/>
      <w:marTop w:val="0"/>
      <w:marBottom w:val="0"/>
      <w:divBdr>
        <w:top w:val="none" w:sz="0" w:space="0" w:color="auto"/>
        <w:left w:val="none" w:sz="0" w:space="0" w:color="auto"/>
        <w:bottom w:val="none" w:sz="0" w:space="0" w:color="auto"/>
        <w:right w:val="none" w:sz="0" w:space="0" w:color="auto"/>
      </w:divBdr>
      <w:divsChild>
        <w:div w:id="65303508">
          <w:marLeft w:val="0"/>
          <w:marRight w:val="0"/>
          <w:marTop w:val="0"/>
          <w:marBottom w:val="180"/>
          <w:divBdr>
            <w:top w:val="none" w:sz="0" w:space="0" w:color="auto"/>
            <w:left w:val="none" w:sz="0" w:space="0" w:color="auto"/>
            <w:bottom w:val="none" w:sz="0" w:space="0" w:color="auto"/>
            <w:right w:val="none" w:sz="0" w:space="0" w:color="auto"/>
          </w:divBdr>
        </w:div>
        <w:div w:id="749696887">
          <w:marLeft w:val="0"/>
          <w:marRight w:val="0"/>
          <w:marTop w:val="0"/>
          <w:marBottom w:val="180"/>
          <w:divBdr>
            <w:top w:val="none" w:sz="0" w:space="0" w:color="auto"/>
            <w:left w:val="none" w:sz="0" w:space="0" w:color="auto"/>
            <w:bottom w:val="none" w:sz="0" w:space="0" w:color="auto"/>
            <w:right w:val="none" w:sz="0" w:space="0" w:color="auto"/>
          </w:divBdr>
        </w:div>
      </w:divsChild>
    </w:div>
    <w:div w:id="1373656823">
      <w:bodyDiv w:val="1"/>
      <w:marLeft w:val="0"/>
      <w:marRight w:val="0"/>
      <w:marTop w:val="0"/>
      <w:marBottom w:val="0"/>
      <w:divBdr>
        <w:top w:val="none" w:sz="0" w:space="0" w:color="auto"/>
        <w:left w:val="none" w:sz="0" w:space="0" w:color="auto"/>
        <w:bottom w:val="none" w:sz="0" w:space="0" w:color="auto"/>
        <w:right w:val="none" w:sz="0" w:space="0" w:color="auto"/>
      </w:divBdr>
    </w:div>
    <w:div w:id="1444495403">
      <w:bodyDiv w:val="1"/>
      <w:marLeft w:val="0"/>
      <w:marRight w:val="0"/>
      <w:marTop w:val="0"/>
      <w:marBottom w:val="0"/>
      <w:divBdr>
        <w:top w:val="none" w:sz="0" w:space="0" w:color="auto"/>
        <w:left w:val="none" w:sz="0" w:space="0" w:color="auto"/>
        <w:bottom w:val="none" w:sz="0" w:space="0" w:color="auto"/>
        <w:right w:val="none" w:sz="0" w:space="0" w:color="auto"/>
      </w:divBdr>
    </w:div>
    <w:div w:id="1487480626">
      <w:bodyDiv w:val="1"/>
      <w:marLeft w:val="0"/>
      <w:marRight w:val="0"/>
      <w:marTop w:val="0"/>
      <w:marBottom w:val="0"/>
      <w:divBdr>
        <w:top w:val="none" w:sz="0" w:space="0" w:color="auto"/>
        <w:left w:val="none" w:sz="0" w:space="0" w:color="auto"/>
        <w:bottom w:val="none" w:sz="0" w:space="0" w:color="auto"/>
        <w:right w:val="none" w:sz="0" w:space="0" w:color="auto"/>
      </w:divBdr>
    </w:div>
    <w:div w:id="1549877979">
      <w:bodyDiv w:val="1"/>
      <w:marLeft w:val="0"/>
      <w:marRight w:val="0"/>
      <w:marTop w:val="0"/>
      <w:marBottom w:val="0"/>
      <w:divBdr>
        <w:top w:val="none" w:sz="0" w:space="0" w:color="auto"/>
        <w:left w:val="none" w:sz="0" w:space="0" w:color="auto"/>
        <w:bottom w:val="none" w:sz="0" w:space="0" w:color="auto"/>
        <w:right w:val="none" w:sz="0" w:space="0" w:color="auto"/>
      </w:divBdr>
    </w:div>
    <w:div w:id="1611283798">
      <w:bodyDiv w:val="1"/>
      <w:marLeft w:val="0"/>
      <w:marRight w:val="0"/>
      <w:marTop w:val="0"/>
      <w:marBottom w:val="0"/>
      <w:divBdr>
        <w:top w:val="none" w:sz="0" w:space="0" w:color="auto"/>
        <w:left w:val="none" w:sz="0" w:space="0" w:color="auto"/>
        <w:bottom w:val="none" w:sz="0" w:space="0" w:color="auto"/>
        <w:right w:val="none" w:sz="0" w:space="0" w:color="auto"/>
      </w:divBdr>
    </w:div>
    <w:div w:id="1691056980">
      <w:bodyDiv w:val="1"/>
      <w:marLeft w:val="0"/>
      <w:marRight w:val="0"/>
      <w:marTop w:val="0"/>
      <w:marBottom w:val="0"/>
      <w:divBdr>
        <w:top w:val="none" w:sz="0" w:space="0" w:color="auto"/>
        <w:left w:val="none" w:sz="0" w:space="0" w:color="auto"/>
        <w:bottom w:val="none" w:sz="0" w:space="0" w:color="auto"/>
        <w:right w:val="none" w:sz="0" w:space="0" w:color="auto"/>
      </w:divBdr>
      <w:divsChild>
        <w:div w:id="1402602399">
          <w:marLeft w:val="0"/>
          <w:marRight w:val="0"/>
          <w:marTop w:val="0"/>
          <w:marBottom w:val="0"/>
          <w:divBdr>
            <w:top w:val="none" w:sz="0" w:space="0" w:color="auto"/>
            <w:left w:val="none" w:sz="0" w:space="0" w:color="auto"/>
            <w:bottom w:val="none" w:sz="0" w:space="0" w:color="auto"/>
            <w:right w:val="none" w:sz="0" w:space="0" w:color="auto"/>
          </w:divBdr>
        </w:div>
      </w:divsChild>
    </w:div>
    <w:div w:id="1702827855">
      <w:bodyDiv w:val="1"/>
      <w:marLeft w:val="0"/>
      <w:marRight w:val="0"/>
      <w:marTop w:val="0"/>
      <w:marBottom w:val="0"/>
      <w:divBdr>
        <w:top w:val="none" w:sz="0" w:space="0" w:color="auto"/>
        <w:left w:val="none" w:sz="0" w:space="0" w:color="auto"/>
        <w:bottom w:val="none" w:sz="0" w:space="0" w:color="auto"/>
        <w:right w:val="none" w:sz="0" w:space="0" w:color="auto"/>
      </w:divBdr>
    </w:div>
    <w:div w:id="1841651838">
      <w:bodyDiv w:val="1"/>
      <w:marLeft w:val="0"/>
      <w:marRight w:val="0"/>
      <w:marTop w:val="0"/>
      <w:marBottom w:val="0"/>
      <w:divBdr>
        <w:top w:val="none" w:sz="0" w:space="0" w:color="auto"/>
        <w:left w:val="none" w:sz="0" w:space="0" w:color="auto"/>
        <w:bottom w:val="none" w:sz="0" w:space="0" w:color="auto"/>
        <w:right w:val="none" w:sz="0" w:space="0" w:color="auto"/>
      </w:divBdr>
    </w:div>
    <w:div w:id="1939170614">
      <w:bodyDiv w:val="1"/>
      <w:marLeft w:val="0"/>
      <w:marRight w:val="0"/>
      <w:marTop w:val="0"/>
      <w:marBottom w:val="0"/>
      <w:divBdr>
        <w:top w:val="none" w:sz="0" w:space="0" w:color="auto"/>
        <w:left w:val="none" w:sz="0" w:space="0" w:color="auto"/>
        <w:bottom w:val="none" w:sz="0" w:space="0" w:color="auto"/>
        <w:right w:val="none" w:sz="0" w:space="0" w:color="auto"/>
      </w:divBdr>
    </w:div>
    <w:div w:id="2111965181">
      <w:bodyDiv w:val="1"/>
      <w:marLeft w:val="0"/>
      <w:marRight w:val="0"/>
      <w:marTop w:val="0"/>
      <w:marBottom w:val="0"/>
      <w:divBdr>
        <w:top w:val="none" w:sz="0" w:space="0" w:color="auto"/>
        <w:left w:val="none" w:sz="0" w:space="0" w:color="auto"/>
        <w:bottom w:val="none" w:sz="0" w:space="0" w:color="auto"/>
        <w:right w:val="none" w:sz="0" w:space="0" w:color="auto"/>
      </w:divBdr>
    </w:div>
    <w:div w:id="2120444969">
      <w:bodyDiv w:val="1"/>
      <w:marLeft w:val="0"/>
      <w:marRight w:val="0"/>
      <w:marTop w:val="0"/>
      <w:marBottom w:val="0"/>
      <w:divBdr>
        <w:top w:val="none" w:sz="0" w:space="0" w:color="auto"/>
        <w:left w:val="none" w:sz="0" w:space="0" w:color="auto"/>
        <w:bottom w:val="none" w:sz="0" w:space="0" w:color="auto"/>
        <w:right w:val="none" w:sz="0" w:space="0" w:color="auto"/>
      </w:divBdr>
      <w:divsChild>
        <w:div w:id="1708406537">
          <w:marLeft w:val="0"/>
          <w:marRight w:val="0"/>
          <w:marTop w:val="0"/>
          <w:marBottom w:val="0"/>
          <w:divBdr>
            <w:top w:val="none" w:sz="0" w:space="0" w:color="auto"/>
            <w:left w:val="none" w:sz="0" w:space="0" w:color="auto"/>
            <w:bottom w:val="none" w:sz="0" w:space="0" w:color="auto"/>
            <w:right w:val="none" w:sz="0" w:space="0" w:color="auto"/>
          </w:divBdr>
          <w:divsChild>
            <w:div w:id="393623025">
              <w:marLeft w:val="0"/>
              <w:marRight w:val="0"/>
              <w:marTop w:val="0"/>
              <w:marBottom w:val="0"/>
              <w:divBdr>
                <w:top w:val="none" w:sz="0" w:space="0" w:color="auto"/>
                <w:left w:val="none" w:sz="0" w:space="0" w:color="auto"/>
                <w:bottom w:val="none" w:sz="0" w:space="0" w:color="auto"/>
                <w:right w:val="none" w:sz="0" w:space="0" w:color="auto"/>
              </w:divBdr>
              <w:divsChild>
                <w:div w:id="1072891718">
                  <w:marLeft w:val="0"/>
                  <w:marRight w:val="0"/>
                  <w:marTop w:val="0"/>
                  <w:marBottom w:val="0"/>
                  <w:divBdr>
                    <w:top w:val="none" w:sz="0" w:space="0" w:color="auto"/>
                    <w:left w:val="none" w:sz="0" w:space="0" w:color="auto"/>
                    <w:bottom w:val="none" w:sz="0" w:space="0" w:color="auto"/>
                    <w:right w:val="none" w:sz="0" w:space="0" w:color="auto"/>
                  </w:divBdr>
                  <w:divsChild>
                    <w:div w:id="2065904101">
                      <w:marLeft w:val="0"/>
                      <w:marRight w:val="0"/>
                      <w:marTop w:val="0"/>
                      <w:marBottom w:val="0"/>
                      <w:divBdr>
                        <w:top w:val="none" w:sz="0" w:space="0" w:color="auto"/>
                        <w:left w:val="none" w:sz="0" w:space="0" w:color="auto"/>
                        <w:bottom w:val="none" w:sz="0" w:space="0" w:color="auto"/>
                        <w:right w:val="none" w:sz="0" w:space="0" w:color="auto"/>
                      </w:divBdr>
                      <w:divsChild>
                        <w:div w:id="143857849">
                          <w:marLeft w:val="0"/>
                          <w:marRight w:val="0"/>
                          <w:marTop w:val="0"/>
                          <w:marBottom w:val="0"/>
                          <w:divBdr>
                            <w:top w:val="none" w:sz="0" w:space="0" w:color="auto"/>
                            <w:left w:val="none" w:sz="0" w:space="0" w:color="auto"/>
                            <w:bottom w:val="none" w:sz="0" w:space="0" w:color="auto"/>
                            <w:right w:val="none" w:sz="0" w:space="0" w:color="auto"/>
                          </w:divBdr>
                          <w:divsChild>
                            <w:div w:id="17586826">
                              <w:marLeft w:val="0"/>
                              <w:marRight w:val="0"/>
                              <w:marTop w:val="0"/>
                              <w:marBottom w:val="0"/>
                              <w:divBdr>
                                <w:top w:val="none" w:sz="0" w:space="0" w:color="auto"/>
                                <w:left w:val="none" w:sz="0" w:space="0" w:color="auto"/>
                                <w:bottom w:val="none" w:sz="0" w:space="0" w:color="auto"/>
                                <w:right w:val="none" w:sz="0" w:space="0" w:color="auto"/>
                              </w:divBdr>
                              <w:divsChild>
                                <w:div w:id="1854875040">
                                  <w:marLeft w:val="0"/>
                                  <w:marRight w:val="0"/>
                                  <w:marTop w:val="0"/>
                                  <w:marBottom w:val="0"/>
                                  <w:divBdr>
                                    <w:top w:val="none" w:sz="0" w:space="0" w:color="auto"/>
                                    <w:left w:val="none" w:sz="0" w:space="0" w:color="auto"/>
                                    <w:bottom w:val="none" w:sz="0" w:space="0" w:color="auto"/>
                                    <w:right w:val="none" w:sz="0" w:space="0" w:color="auto"/>
                                  </w:divBdr>
                                  <w:divsChild>
                                    <w:div w:id="2019576136">
                                      <w:marLeft w:val="0"/>
                                      <w:marRight w:val="0"/>
                                      <w:marTop w:val="0"/>
                                      <w:marBottom w:val="0"/>
                                      <w:divBdr>
                                        <w:top w:val="none" w:sz="0" w:space="0" w:color="auto"/>
                                        <w:left w:val="none" w:sz="0" w:space="0" w:color="auto"/>
                                        <w:bottom w:val="none" w:sz="0" w:space="0" w:color="auto"/>
                                        <w:right w:val="none" w:sz="0" w:space="0" w:color="auto"/>
                                      </w:divBdr>
                                      <w:divsChild>
                                        <w:div w:id="10041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mission/presscorner/detail/en/IP_15_458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gress.gov/bill/118th-congress/senate-bill/1838/tex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serve.gov/econres/feds/files/2017074pap.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ederalreserve.gov/econres/feds/files/2023007pap.pdf" TargetMode="External"/><Relationship Id="rId4" Type="http://schemas.openxmlformats.org/officeDocument/2006/relationships/settings" Target="settings.xml"/><Relationship Id="rId9" Type="http://schemas.openxmlformats.org/officeDocument/2006/relationships/hyperlink" Target="file:///C:/Users/Chris%20Delta/Downloads/ppdp1003.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A3558-3FC0-4D1A-855D-FF246F8C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2377</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California enacted S</vt:lpstr>
    </vt:vector>
  </TitlesOfParts>
  <Company>Toshiba</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enacted S</dc:title>
  <dc:subject/>
  <dc:creator>George Delta</dc:creator>
  <cp:keywords/>
  <cp:lastModifiedBy>Steve Slagle</cp:lastModifiedBy>
  <cp:revision>2</cp:revision>
  <dcterms:created xsi:type="dcterms:W3CDTF">2024-06-24T17:00:00Z</dcterms:created>
  <dcterms:modified xsi:type="dcterms:W3CDTF">2024-06-24T17:00:00Z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-812351401</vt:i4>
  </property>
  <property fmtid="{D5CDD505-2E9C-101B-9397-08002B2CF9AE}" pid="3" name="_EmailSubject">
    <vt:lpwstr>Federal Gift Card Legislation</vt:lpwstr>
  </property>
  <property fmtid="{D5CDD505-2E9C-101B-9397-08002B2CF9AE}" pid="4" name="_AuthorEmail">
    <vt:lpwstr>gdelta@cox.net</vt:lpwstr>
  </property>
  <property fmtid="{D5CDD505-2E9C-101B-9397-08002B2CF9AE}" pid="5" name="_AuthorEmailDisplayName">
    <vt:lpwstr>GeorgeDelta</vt:lpwstr>
  </property>
  <property fmtid="{D5CDD505-2E9C-101B-9397-08002B2CF9AE}" pid="6" name="_ReviewingToolsShownOnce">
    <vt:lpwstr/>
  </property>
</Properties>
</file>